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819D8" w14:textId="77176C5F" w:rsidR="006F282D" w:rsidRPr="005F6DA6" w:rsidRDefault="00224334" w:rsidP="002F45DA">
      <w:pPr>
        <w:tabs>
          <w:tab w:val="left" w:pos="4111"/>
        </w:tabs>
        <w:spacing w:after="60"/>
        <w:rPr>
          <w:rFonts w:ascii="Arial" w:hAnsi="Arial" w:cs="Arial"/>
          <w:color w:val="595959" w:themeColor="text1" w:themeTint="A6"/>
        </w:rPr>
      </w:pPr>
      <w:r>
        <w:rPr>
          <w:rFonts w:ascii="Arial" w:hAnsi="Arial" w:cs="Arial"/>
          <w:noProof/>
          <w:color w:val="595959" w:themeColor="text1" w:themeTint="A6"/>
        </w:rPr>
        <w:drawing>
          <wp:inline distT="0" distB="0" distL="0" distR="0" wp14:anchorId="018AE070" wp14:editId="776CF461">
            <wp:extent cx="1374750" cy="1146380"/>
            <wp:effectExtent l="0" t="0" r="0" b="0"/>
            <wp:docPr id="23" name="Image 23" descr="Macintosh HD:Users:hirschhirsch:Desktop:Cercle:Logo Initiative 1.2.21:Capture d’écran 2021-02-01 à 13.5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ercle:Logo Initiative 1.2.21:Capture d’écran 2021-02-01 à 13.59.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750" cy="1146380"/>
                    </a:xfrm>
                    <a:prstGeom prst="rect">
                      <a:avLst/>
                    </a:prstGeom>
                    <a:noFill/>
                    <a:ln>
                      <a:noFill/>
                    </a:ln>
                  </pic:spPr>
                </pic:pic>
              </a:graphicData>
            </a:graphic>
          </wp:inline>
        </w:drawing>
      </w:r>
    </w:p>
    <w:p w14:paraId="166FE661" w14:textId="6FD7CBF8" w:rsidR="003613AD" w:rsidRPr="005F6DA6" w:rsidRDefault="003613AD" w:rsidP="002F45DA">
      <w:pPr>
        <w:tabs>
          <w:tab w:val="left" w:pos="4962"/>
        </w:tabs>
        <w:spacing w:after="60"/>
        <w:jc w:val="both"/>
        <w:rPr>
          <w:rFonts w:ascii="Arial" w:eastAsia="Calibri" w:hAnsi="Arial" w:cs="Arial"/>
          <w:color w:val="595959" w:themeColor="text1" w:themeTint="A6"/>
          <w:sz w:val="28"/>
          <w:szCs w:val="28"/>
        </w:rPr>
      </w:pPr>
    </w:p>
    <w:p w14:paraId="5DE5C2D8" w14:textId="77777777" w:rsidR="003613AD" w:rsidRPr="005F6DA6" w:rsidRDefault="003613AD" w:rsidP="002F45DA">
      <w:pPr>
        <w:tabs>
          <w:tab w:val="left" w:pos="4962"/>
        </w:tabs>
        <w:spacing w:after="60"/>
        <w:jc w:val="both"/>
        <w:rPr>
          <w:rFonts w:ascii="Arial" w:eastAsia="Calibri" w:hAnsi="Arial" w:cs="Arial"/>
          <w:color w:val="595959" w:themeColor="text1" w:themeTint="A6"/>
          <w:sz w:val="28"/>
          <w:szCs w:val="28"/>
        </w:rPr>
      </w:pPr>
    </w:p>
    <w:p w14:paraId="5270CDBB" w14:textId="77777777" w:rsidR="003613AD" w:rsidRPr="005F6DA6" w:rsidRDefault="003613AD" w:rsidP="002F45DA">
      <w:pPr>
        <w:tabs>
          <w:tab w:val="left" w:pos="4962"/>
        </w:tabs>
        <w:spacing w:after="60"/>
        <w:jc w:val="both"/>
        <w:rPr>
          <w:rFonts w:ascii="Arial" w:eastAsia="Calibri" w:hAnsi="Arial" w:cs="Arial"/>
          <w:color w:val="595959" w:themeColor="text1" w:themeTint="A6"/>
          <w:sz w:val="28"/>
          <w:szCs w:val="28"/>
        </w:rPr>
      </w:pPr>
    </w:p>
    <w:p w14:paraId="3FD76A36" w14:textId="6FD3CF67" w:rsidR="003613AD" w:rsidRPr="005F6DA6" w:rsidRDefault="003613AD" w:rsidP="002F45DA">
      <w:pPr>
        <w:spacing w:after="60"/>
        <w:jc w:val="both"/>
        <w:rPr>
          <w:rFonts w:ascii="Arial" w:eastAsia="Calibri" w:hAnsi="Arial" w:cs="Arial"/>
          <w:color w:val="595959" w:themeColor="text1" w:themeTint="A6"/>
          <w:sz w:val="28"/>
          <w:szCs w:val="28"/>
        </w:rPr>
      </w:pPr>
      <w:r w:rsidRPr="005F6DA6">
        <w:rPr>
          <w:rFonts w:ascii="Arial" w:eastAsia="Calibri" w:hAnsi="Arial" w:cs="Arial"/>
          <w:color w:val="595959" w:themeColor="text1" w:themeTint="A6"/>
          <w:sz w:val="28"/>
          <w:szCs w:val="28"/>
          <w:shd w:val="clear" w:color="auto" w:fill="000080"/>
        </w:rPr>
        <w:t xml:space="preserve">Cercle E &amp; </w:t>
      </w:r>
      <w:r w:rsidR="004B38DB" w:rsidRPr="005F6DA6">
        <w:rPr>
          <w:rFonts w:ascii="Arial" w:eastAsia="Calibri" w:hAnsi="Arial" w:cs="Arial"/>
          <w:color w:val="595959" w:themeColor="text1" w:themeTint="A6"/>
          <w:sz w:val="28"/>
          <w:szCs w:val="28"/>
          <w:shd w:val="clear" w:color="auto" w:fill="000080"/>
        </w:rPr>
        <w:t xml:space="preserve"> </w:t>
      </w:r>
      <w:r w:rsidR="00F14FBC">
        <w:rPr>
          <w:rFonts w:ascii="Arial" w:eastAsia="Calibri" w:hAnsi="Arial" w:cs="Arial"/>
          <w:color w:val="595959" w:themeColor="text1" w:themeTint="A6"/>
          <w:sz w:val="28"/>
          <w:szCs w:val="28"/>
          <w:shd w:val="clear" w:color="auto" w:fill="000080"/>
        </w:rPr>
        <w:t xml:space="preserve">P </w:t>
      </w:r>
      <w:bookmarkStart w:id="0" w:name="_GoBack"/>
      <w:bookmarkEnd w:id="0"/>
      <w:r w:rsidR="004B38DB" w:rsidRPr="005F6DA6">
        <w:rPr>
          <w:rFonts w:ascii="Arial" w:eastAsia="Calibri" w:hAnsi="Arial" w:cs="Arial"/>
          <w:color w:val="595959" w:themeColor="text1" w:themeTint="A6"/>
          <w:sz w:val="28"/>
          <w:szCs w:val="28"/>
          <w:shd w:val="clear" w:color="auto" w:fill="000080"/>
        </w:rPr>
        <w:t>Compte-r</w:t>
      </w:r>
      <w:r w:rsidRPr="005F6DA6">
        <w:rPr>
          <w:rFonts w:ascii="Arial" w:eastAsia="Calibri" w:hAnsi="Arial" w:cs="Arial"/>
          <w:color w:val="595959" w:themeColor="text1" w:themeTint="A6"/>
          <w:sz w:val="28"/>
          <w:szCs w:val="28"/>
          <w:shd w:val="clear" w:color="auto" w:fill="000080"/>
        </w:rPr>
        <w:t xml:space="preserve">endu de la </w:t>
      </w:r>
      <w:r w:rsidR="005F46F8" w:rsidRPr="005F6DA6">
        <w:rPr>
          <w:rFonts w:ascii="Arial" w:eastAsia="Calibri" w:hAnsi="Arial" w:cs="Arial"/>
          <w:color w:val="595959" w:themeColor="text1" w:themeTint="A6"/>
          <w:sz w:val="28"/>
          <w:szCs w:val="28"/>
          <w:shd w:val="clear" w:color="auto" w:fill="000080"/>
        </w:rPr>
        <w:t>Rencontre</w:t>
      </w:r>
      <w:r w:rsidRPr="005F6DA6">
        <w:rPr>
          <w:rFonts w:ascii="Arial" w:eastAsia="Calibri" w:hAnsi="Arial" w:cs="Arial"/>
          <w:color w:val="595959" w:themeColor="text1" w:themeTint="A6"/>
          <w:sz w:val="28"/>
          <w:szCs w:val="28"/>
          <w:shd w:val="clear" w:color="auto" w:fill="000080"/>
        </w:rPr>
        <w:t xml:space="preserve"> </w:t>
      </w:r>
      <w:r w:rsidRPr="005F6DA6">
        <w:rPr>
          <w:rFonts w:ascii="Arial" w:eastAsia="Calibri" w:hAnsi="Arial" w:cs="Arial"/>
          <w:color w:val="595959" w:themeColor="text1" w:themeTint="A6"/>
          <w:sz w:val="28"/>
          <w:szCs w:val="28"/>
          <w:highlight w:val="red"/>
          <w:shd w:val="clear" w:color="auto" w:fill="000080"/>
        </w:rPr>
        <w:t xml:space="preserve">n° </w:t>
      </w:r>
      <w:r w:rsidR="00374E7B" w:rsidRPr="005F6DA6">
        <w:rPr>
          <w:rFonts w:ascii="Arial" w:eastAsia="Calibri" w:hAnsi="Arial" w:cs="Arial"/>
          <w:color w:val="595959" w:themeColor="text1" w:themeTint="A6"/>
          <w:sz w:val="28"/>
          <w:szCs w:val="28"/>
          <w:highlight w:val="red"/>
          <w:shd w:val="clear" w:color="auto" w:fill="000080"/>
        </w:rPr>
        <w:t>2</w:t>
      </w:r>
      <w:r w:rsidR="006D5631" w:rsidRPr="005F6DA6">
        <w:rPr>
          <w:rFonts w:ascii="Arial" w:eastAsia="Calibri" w:hAnsi="Arial" w:cs="Arial"/>
          <w:color w:val="595959" w:themeColor="text1" w:themeTint="A6"/>
          <w:sz w:val="28"/>
          <w:szCs w:val="28"/>
          <w:highlight w:val="red"/>
          <w:shd w:val="clear" w:color="auto" w:fill="000080"/>
        </w:rPr>
        <w:t xml:space="preserve"> </w:t>
      </w:r>
      <w:r w:rsidR="0052624E" w:rsidRPr="005F6DA6">
        <w:rPr>
          <w:rFonts w:ascii="Arial" w:eastAsia="Calibri" w:hAnsi="Arial" w:cs="Arial"/>
          <w:color w:val="595959" w:themeColor="text1" w:themeTint="A6"/>
          <w:sz w:val="28"/>
          <w:szCs w:val="28"/>
          <w:highlight w:val="red"/>
          <w:shd w:val="clear" w:color="auto" w:fill="000080"/>
        </w:rPr>
        <w:t xml:space="preserve">• </w:t>
      </w:r>
      <w:r w:rsidRPr="005F6DA6">
        <w:rPr>
          <w:rFonts w:ascii="Arial" w:eastAsia="Calibri" w:hAnsi="Arial" w:cs="Arial"/>
          <w:color w:val="595959" w:themeColor="text1" w:themeTint="A6"/>
          <w:sz w:val="28"/>
          <w:szCs w:val="28"/>
          <w:highlight w:val="red"/>
          <w:shd w:val="clear" w:color="auto" w:fill="000080"/>
        </w:rPr>
        <w:t>1</w:t>
      </w:r>
      <w:r w:rsidR="00374E7B" w:rsidRPr="005F6DA6">
        <w:rPr>
          <w:rFonts w:ascii="Arial" w:eastAsia="Calibri" w:hAnsi="Arial" w:cs="Arial"/>
          <w:color w:val="595959" w:themeColor="text1" w:themeTint="A6"/>
          <w:sz w:val="28"/>
          <w:szCs w:val="28"/>
          <w:highlight w:val="red"/>
          <w:shd w:val="clear" w:color="auto" w:fill="000080"/>
        </w:rPr>
        <w:t>1</w:t>
      </w:r>
      <w:r w:rsidR="006D5631" w:rsidRPr="005F6DA6">
        <w:rPr>
          <w:rFonts w:ascii="Arial" w:eastAsia="Calibri" w:hAnsi="Arial" w:cs="Arial"/>
          <w:color w:val="595959" w:themeColor="text1" w:themeTint="A6"/>
          <w:sz w:val="28"/>
          <w:szCs w:val="28"/>
          <w:highlight w:val="red"/>
          <w:shd w:val="clear" w:color="auto" w:fill="000080"/>
        </w:rPr>
        <w:t xml:space="preserve"> </w:t>
      </w:r>
      <w:r w:rsidR="00921540">
        <w:rPr>
          <w:rFonts w:ascii="Arial" w:eastAsia="Calibri" w:hAnsi="Arial" w:cs="Arial"/>
          <w:color w:val="595959" w:themeColor="text1" w:themeTint="A6"/>
          <w:sz w:val="28"/>
          <w:szCs w:val="28"/>
          <w:highlight w:val="red"/>
          <w:shd w:val="clear" w:color="auto" w:fill="000080"/>
        </w:rPr>
        <w:t>janvier</w:t>
      </w:r>
      <w:r w:rsidR="006D5631" w:rsidRPr="005F6DA6">
        <w:rPr>
          <w:rFonts w:ascii="Arial" w:eastAsia="Calibri" w:hAnsi="Arial" w:cs="Arial"/>
          <w:color w:val="595959" w:themeColor="text1" w:themeTint="A6"/>
          <w:sz w:val="28"/>
          <w:szCs w:val="28"/>
          <w:highlight w:val="red"/>
          <w:shd w:val="clear" w:color="auto" w:fill="000080"/>
        </w:rPr>
        <w:t xml:space="preserve"> 202</w:t>
      </w:r>
      <w:r w:rsidR="00921540">
        <w:rPr>
          <w:rFonts w:ascii="Arial" w:eastAsia="Calibri" w:hAnsi="Arial" w:cs="Arial"/>
          <w:color w:val="595959" w:themeColor="text1" w:themeTint="A6"/>
          <w:sz w:val="28"/>
          <w:szCs w:val="28"/>
          <w:shd w:val="clear" w:color="auto" w:fill="000080"/>
        </w:rPr>
        <w:t>1</w:t>
      </w:r>
    </w:p>
    <w:p w14:paraId="3588BF5D" w14:textId="77777777" w:rsidR="003613AD" w:rsidRPr="005F6DA6" w:rsidRDefault="003613AD" w:rsidP="002F45DA">
      <w:pPr>
        <w:tabs>
          <w:tab w:val="left" w:pos="4962"/>
        </w:tabs>
        <w:spacing w:after="60"/>
        <w:jc w:val="both"/>
        <w:rPr>
          <w:rFonts w:ascii="Arial" w:eastAsia="Calibri" w:hAnsi="Arial" w:cs="Arial"/>
          <w:color w:val="595959" w:themeColor="text1" w:themeTint="A6"/>
        </w:rPr>
      </w:pPr>
    </w:p>
    <w:p w14:paraId="009143E3" w14:textId="59952B9A" w:rsidR="003613AD" w:rsidRPr="005F6DA6" w:rsidRDefault="0052624E" w:rsidP="002F45DA">
      <w:pPr>
        <w:tabs>
          <w:tab w:val="left" w:pos="4962"/>
        </w:tabs>
        <w:spacing w:after="60"/>
        <w:jc w:val="both"/>
        <w:rPr>
          <w:rFonts w:ascii="Arial" w:eastAsia="Calibri" w:hAnsi="Arial" w:cs="Arial"/>
          <w:color w:val="595959" w:themeColor="text1" w:themeTint="A6"/>
        </w:rPr>
      </w:pPr>
      <w:r w:rsidRPr="005F6DA6">
        <w:rPr>
          <w:rFonts w:ascii="Arial" w:eastAsia="Calibri" w:hAnsi="Arial" w:cs="Arial"/>
          <w:color w:val="595959" w:themeColor="text1" w:themeTint="A6"/>
        </w:rPr>
        <w:t xml:space="preserve">CR/ EH </w:t>
      </w:r>
      <w:r w:rsidR="00374E7B" w:rsidRPr="005F6DA6">
        <w:rPr>
          <w:rFonts w:ascii="Arial" w:eastAsia="Calibri" w:hAnsi="Arial" w:cs="Arial"/>
          <w:color w:val="595959" w:themeColor="text1" w:themeTint="A6"/>
        </w:rPr>
        <w:t>–</w:t>
      </w:r>
      <w:r w:rsidRPr="005F6DA6">
        <w:rPr>
          <w:rFonts w:ascii="Arial" w:eastAsia="Calibri" w:hAnsi="Arial" w:cs="Arial"/>
          <w:color w:val="595959" w:themeColor="text1" w:themeTint="A6"/>
        </w:rPr>
        <w:t xml:space="preserve"> </w:t>
      </w:r>
      <w:r w:rsidR="00374E7B" w:rsidRPr="005F6DA6">
        <w:rPr>
          <w:rFonts w:ascii="Arial" w:eastAsia="Calibri" w:hAnsi="Arial" w:cs="Arial"/>
          <w:color w:val="595959" w:themeColor="text1" w:themeTint="A6"/>
        </w:rPr>
        <w:t>1</w:t>
      </w:r>
      <w:r w:rsidR="00374E7B" w:rsidRPr="005F6DA6">
        <w:rPr>
          <w:rFonts w:ascii="Arial" w:eastAsia="Calibri" w:hAnsi="Arial" w:cs="Arial"/>
          <w:color w:val="595959" w:themeColor="text1" w:themeTint="A6"/>
          <w:vertAlign w:val="superscript"/>
        </w:rPr>
        <w:t>er</w:t>
      </w:r>
      <w:r w:rsidR="00374E7B" w:rsidRPr="005F6DA6">
        <w:rPr>
          <w:rFonts w:ascii="Arial" w:eastAsia="Calibri" w:hAnsi="Arial" w:cs="Arial"/>
          <w:color w:val="595959" w:themeColor="text1" w:themeTint="A6"/>
        </w:rPr>
        <w:t xml:space="preserve"> février</w:t>
      </w:r>
      <w:r w:rsidR="003613AD" w:rsidRPr="005F6DA6">
        <w:rPr>
          <w:rFonts w:ascii="Arial" w:eastAsia="Calibri" w:hAnsi="Arial" w:cs="Arial"/>
          <w:color w:val="595959" w:themeColor="text1" w:themeTint="A6"/>
        </w:rPr>
        <w:t xml:space="preserve"> 2012</w:t>
      </w:r>
    </w:p>
    <w:p w14:paraId="7F7444D6" w14:textId="77777777" w:rsidR="004E5561" w:rsidRPr="005F6DA6" w:rsidRDefault="004E5561" w:rsidP="002F45DA">
      <w:pPr>
        <w:tabs>
          <w:tab w:val="left" w:pos="4111"/>
        </w:tabs>
        <w:spacing w:after="60"/>
        <w:rPr>
          <w:rFonts w:ascii="Arial" w:hAnsi="Arial" w:cs="Arial"/>
          <w:color w:val="595959" w:themeColor="text1" w:themeTint="A6"/>
        </w:rPr>
      </w:pPr>
    </w:p>
    <w:p w14:paraId="61260781" w14:textId="77777777" w:rsidR="0052624E" w:rsidRPr="005F6DA6" w:rsidRDefault="0052624E" w:rsidP="002F45DA">
      <w:pPr>
        <w:tabs>
          <w:tab w:val="left" w:pos="4111"/>
        </w:tabs>
        <w:spacing w:after="60"/>
        <w:rPr>
          <w:rFonts w:ascii="Arial" w:hAnsi="Arial" w:cs="Arial"/>
          <w:color w:val="595959" w:themeColor="text1" w:themeTint="A6"/>
        </w:rPr>
      </w:pPr>
    </w:p>
    <w:p w14:paraId="4229E9DA" w14:textId="5FA356F6"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tabs>
          <w:tab w:val="left" w:pos="4111"/>
        </w:tabs>
        <w:spacing w:after="60"/>
        <w:rPr>
          <w:rFonts w:ascii="Arial" w:hAnsi="Arial" w:cs="Arial"/>
          <w:b/>
          <w:color w:val="595959" w:themeColor="text1" w:themeTint="A6"/>
          <w:sz w:val="22"/>
          <w:szCs w:val="22"/>
        </w:rPr>
      </w:pPr>
      <w:r w:rsidRPr="005F6DA6">
        <w:rPr>
          <w:rFonts w:ascii="Arial" w:hAnsi="Arial" w:cs="Arial"/>
          <w:b/>
          <w:color w:val="595959" w:themeColor="text1" w:themeTint="A6"/>
          <w:sz w:val="22"/>
          <w:szCs w:val="22"/>
        </w:rPr>
        <w:t>Prochaines Rencontres</w:t>
      </w:r>
    </w:p>
    <w:p w14:paraId="06357B35" w14:textId="46FBBA89"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spacing w:after="60"/>
        <w:rPr>
          <w:rFonts w:ascii="Arial" w:eastAsia="Times New Roman" w:hAnsi="Arial" w:cs="Arial"/>
          <w:color w:val="595959" w:themeColor="text1" w:themeTint="A6"/>
          <w:sz w:val="22"/>
          <w:szCs w:val="22"/>
        </w:rPr>
      </w:pPr>
    </w:p>
    <w:p w14:paraId="4CC44711" w14:textId="77777777"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spacing w:after="60"/>
        <w:jc w:val="both"/>
        <w:rPr>
          <w:rFonts w:ascii="Arial" w:eastAsia="Times New Roman" w:hAnsi="Arial" w:cs="Arial"/>
          <w:b/>
          <w:color w:val="595959" w:themeColor="text1" w:themeTint="A6"/>
          <w:sz w:val="22"/>
          <w:szCs w:val="22"/>
        </w:rPr>
      </w:pPr>
      <w:r w:rsidRPr="005F6DA6">
        <w:rPr>
          <w:rFonts w:ascii="Arial" w:eastAsia="Times New Roman" w:hAnsi="Arial" w:cs="Arial"/>
          <w:b/>
          <w:color w:val="595959" w:themeColor="text1" w:themeTint="A6"/>
          <w:sz w:val="22"/>
          <w:szCs w:val="22"/>
        </w:rPr>
        <w:t>3</w:t>
      </w:r>
      <w:r w:rsidRPr="005F6DA6">
        <w:rPr>
          <w:rFonts w:ascii="Arial" w:eastAsia="Times New Roman" w:hAnsi="Arial" w:cs="Arial"/>
          <w:b/>
          <w:color w:val="595959" w:themeColor="text1" w:themeTint="A6"/>
          <w:sz w:val="22"/>
          <w:szCs w:val="22"/>
          <w:vertAlign w:val="superscript"/>
        </w:rPr>
        <w:t>ème</w:t>
      </w:r>
      <w:r w:rsidRPr="005F6DA6">
        <w:rPr>
          <w:rFonts w:ascii="Arial" w:eastAsia="Times New Roman" w:hAnsi="Arial" w:cs="Arial"/>
          <w:b/>
          <w:color w:val="595959" w:themeColor="text1" w:themeTint="A6"/>
          <w:sz w:val="22"/>
          <w:szCs w:val="22"/>
        </w:rPr>
        <w:t xml:space="preserve"> Rencontre</w:t>
      </w:r>
    </w:p>
    <w:p w14:paraId="20E73477" w14:textId="27902BE9"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spacing w:after="60"/>
        <w:jc w:val="both"/>
        <w:rPr>
          <w:rFonts w:ascii="Arial" w:eastAsia="Times New Roman" w:hAnsi="Arial" w:cs="Arial"/>
          <w:b/>
          <w:color w:val="595959" w:themeColor="text1" w:themeTint="A6"/>
          <w:sz w:val="22"/>
          <w:szCs w:val="22"/>
        </w:rPr>
      </w:pPr>
      <w:r w:rsidRPr="005F6DA6">
        <w:rPr>
          <w:rFonts w:ascii="Arial" w:eastAsia="Times New Roman" w:hAnsi="Arial" w:cs="Arial"/>
          <w:b/>
          <w:color w:val="595959" w:themeColor="text1" w:themeTint="A6"/>
          <w:sz w:val="22"/>
          <w:szCs w:val="22"/>
        </w:rPr>
        <w:t xml:space="preserve">Mardi </w:t>
      </w:r>
      <w:r w:rsidR="00374E7B" w:rsidRPr="005F6DA6">
        <w:rPr>
          <w:rFonts w:ascii="Arial" w:eastAsia="Times New Roman" w:hAnsi="Arial" w:cs="Arial"/>
          <w:b/>
          <w:color w:val="595959" w:themeColor="text1" w:themeTint="A6"/>
          <w:sz w:val="22"/>
          <w:szCs w:val="22"/>
        </w:rPr>
        <w:t>16</w:t>
      </w:r>
      <w:r w:rsidRPr="005F6DA6">
        <w:rPr>
          <w:rFonts w:ascii="Arial" w:eastAsia="Times New Roman" w:hAnsi="Arial" w:cs="Arial"/>
          <w:b/>
          <w:color w:val="595959" w:themeColor="text1" w:themeTint="A6"/>
          <w:sz w:val="22"/>
          <w:szCs w:val="22"/>
        </w:rPr>
        <w:t xml:space="preserve"> février</w:t>
      </w:r>
    </w:p>
    <w:p w14:paraId="512D03FC" w14:textId="17E42297"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spacing w:after="60"/>
        <w:jc w:val="both"/>
        <w:rPr>
          <w:rFonts w:ascii="Arial" w:eastAsia="Times New Roman" w:hAnsi="Arial" w:cs="Arial"/>
          <w:color w:val="595959" w:themeColor="text1" w:themeTint="A6"/>
          <w:sz w:val="22"/>
          <w:szCs w:val="22"/>
        </w:rPr>
      </w:pPr>
      <w:r w:rsidRPr="005F6DA6">
        <w:rPr>
          <w:rFonts w:ascii="Arial" w:eastAsia="Times New Roman" w:hAnsi="Arial" w:cs="Arial"/>
          <w:color w:val="595959" w:themeColor="text1" w:themeTint="A6"/>
          <w:sz w:val="22"/>
          <w:szCs w:val="22"/>
        </w:rPr>
        <w:t>Xavier FRIFFAULT</w:t>
      </w:r>
    </w:p>
    <w:p w14:paraId="46FEBA01" w14:textId="77777777"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spacing w:after="60"/>
        <w:jc w:val="both"/>
        <w:rPr>
          <w:rFonts w:ascii="Arial" w:eastAsia="Times New Roman" w:hAnsi="Arial" w:cs="Arial"/>
          <w:b/>
          <w:color w:val="595959" w:themeColor="text1" w:themeTint="A6"/>
          <w:sz w:val="22"/>
          <w:szCs w:val="22"/>
        </w:rPr>
      </w:pPr>
      <w:r w:rsidRPr="005F6DA6">
        <w:rPr>
          <w:rFonts w:ascii="Arial" w:eastAsia="Times New Roman" w:hAnsi="Arial" w:cs="Arial"/>
          <w:b/>
          <w:color w:val="595959" w:themeColor="text1" w:themeTint="A6"/>
          <w:sz w:val="22"/>
          <w:szCs w:val="22"/>
        </w:rPr>
        <w:t>4</w:t>
      </w:r>
      <w:r w:rsidRPr="005F6DA6">
        <w:rPr>
          <w:rFonts w:ascii="Arial" w:eastAsia="Times New Roman" w:hAnsi="Arial" w:cs="Arial"/>
          <w:b/>
          <w:color w:val="595959" w:themeColor="text1" w:themeTint="A6"/>
          <w:sz w:val="22"/>
          <w:szCs w:val="22"/>
          <w:vertAlign w:val="superscript"/>
        </w:rPr>
        <w:t>ème</w:t>
      </w:r>
      <w:r w:rsidRPr="005F6DA6">
        <w:rPr>
          <w:rFonts w:ascii="Arial" w:eastAsia="Times New Roman" w:hAnsi="Arial" w:cs="Arial"/>
          <w:b/>
          <w:color w:val="595959" w:themeColor="text1" w:themeTint="A6"/>
          <w:sz w:val="22"/>
          <w:szCs w:val="22"/>
        </w:rPr>
        <w:t xml:space="preserve"> Rencontre</w:t>
      </w:r>
    </w:p>
    <w:p w14:paraId="3532A1F0" w14:textId="27B07533"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spacing w:after="60"/>
        <w:jc w:val="both"/>
        <w:rPr>
          <w:rFonts w:ascii="Arial" w:eastAsia="Times New Roman" w:hAnsi="Arial" w:cs="Arial"/>
          <w:b/>
          <w:color w:val="595959" w:themeColor="text1" w:themeTint="A6"/>
          <w:sz w:val="22"/>
          <w:szCs w:val="22"/>
        </w:rPr>
      </w:pPr>
      <w:r w:rsidRPr="005F6DA6">
        <w:rPr>
          <w:rFonts w:ascii="Arial" w:eastAsia="Times New Roman" w:hAnsi="Arial" w:cs="Arial"/>
          <w:b/>
          <w:color w:val="595959" w:themeColor="text1" w:themeTint="A6"/>
          <w:sz w:val="22"/>
          <w:szCs w:val="22"/>
        </w:rPr>
        <w:t>M</w:t>
      </w:r>
      <w:r w:rsidR="00E14801">
        <w:rPr>
          <w:rFonts w:ascii="Arial" w:eastAsia="Times New Roman" w:hAnsi="Arial" w:cs="Arial"/>
          <w:b/>
          <w:color w:val="595959" w:themeColor="text1" w:themeTint="A6"/>
          <w:sz w:val="22"/>
          <w:szCs w:val="22"/>
        </w:rPr>
        <w:t xml:space="preserve">ercredi </w:t>
      </w:r>
      <w:r w:rsidR="00374E7B" w:rsidRPr="005F6DA6">
        <w:rPr>
          <w:rFonts w:ascii="Arial" w:eastAsia="Times New Roman" w:hAnsi="Arial" w:cs="Arial"/>
          <w:b/>
          <w:color w:val="595959" w:themeColor="text1" w:themeTint="A6"/>
          <w:sz w:val="22"/>
          <w:szCs w:val="22"/>
        </w:rPr>
        <w:t>10 mars</w:t>
      </w:r>
    </w:p>
    <w:p w14:paraId="727B4B67" w14:textId="77777777" w:rsidR="005F46F8" w:rsidRPr="005F6DA6" w:rsidRDefault="005F46F8" w:rsidP="002F45DA">
      <w:pPr>
        <w:pBdr>
          <w:top w:val="single" w:sz="4" w:space="1" w:color="auto"/>
          <w:left w:val="single" w:sz="4" w:space="4" w:color="auto"/>
          <w:bottom w:val="single" w:sz="4" w:space="1" w:color="auto"/>
          <w:right w:val="single" w:sz="4" w:space="4" w:color="auto"/>
        </w:pBdr>
        <w:shd w:val="clear" w:color="auto" w:fill="E6E6E6"/>
        <w:spacing w:after="60"/>
        <w:jc w:val="both"/>
        <w:rPr>
          <w:rFonts w:ascii="Arial" w:eastAsia="Times New Roman" w:hAnsi="Arial" w:cs="Arial"/>
          <w:color w:val="595959" w:themeColor="text1" w:themeTint="A6"/>
          <w:sz w:val="22"/>
          <w:szCs w:val="22"/>
        </w:rPr>
      </w:pPr>
      <w:r w:rsidRPr="005F6DA6">
        <w:rPr>
          <w:rFonts w:ascii="Arial" w:eastAsia="Times New Roman" w:hAnsi="Arial" w:cs="Arial"/>
          <w:color w:val="595959" w:themeColor="text1" w:themeTint="A6"/>
          <w:sz w:val="22"/>
          <w:szCs w:val="22"/>
        </w:rPr>
        <w:t>Hélène OPPENHEIM-GLUCKMAN</w:t>
      </w:r>
    </w:p>
    <w:p w14:paraId="0272D820" w14:textId="77777777" w:rsidR="0052624E" w:rsidRPr="005F6DA6" w:rsidRDefault="0052624E" w:rsidP="002F45DA">
      <w:pPr>
        <w:tabs>
          <w:tab w:val="left" w:pos="4111"/>
        </w:tabs>
        <w:spacing w:after="60"/>
        <w:rPr>
          <w:rFonts w:ascii="Arial" w:hAnsi="Arial" w:cs="Arial"/>
          <w:color w:val="595959" w:themeColor="text1" w:themeTint="A6"/>
        </w:rPr>
      </w:pPr>
    </w:p>
    <w:p w14:paraId="0AD9E4AC" w14:textId="77777777" w:rsidR="0052624E" w:rsidRPr="005F6DA6" w:rsidRDefault="0052624E" w:rsidP="002F45DA">
      <w:pPr>
        <w:tabs>
          <w:tab w:val="left" w:pos="4111"/>
        </w:tabs>
        <w:spacing w:after="60"/>
        <w:rPr>
          <w:rFonts w:ascii="Arial" w:hAnsi="Arial" w:cs="Arial"/>
          <w:color w:val="595959" w:themeColor="text1" w:themeTint="A6"/>
        </w:rPr>
      </w:pPr>
    </w:p>
    <w:p w14:paraId="5A913EEF" w14:textId="77777777" w:rsidR="004B38DB" w:rsidRPr="005F6DA6" w:rsidRDefault="004B38DB" w:rsidP="002F45DA">
      <w:pPr>
        <w:tabs>
          <w:tab w:val="left" w:pos="4111"/>
        </w:tabs>
        <w:spacing w:after="60"/>
        <w:rPr>
          <w:rFonts w:ascii="Arial" w:hAnsi="Arial" w:cs="Arial"/>
          <w:color w:val="595959" w:themeColor="text1" w:themeTint="A6"/>
        </w:rPr>
      </w:pPr>
    </w:p>
    <w:p w14:paraId="6E8FD74F" w14:textId="221C4374" w:rsidR="004B38DB" w:rsidRPr="005F6DA6" w:rsidRDefault="00374E7B" w:rsidP="002F45DA">
      <w:pPr>
        <w:shd w:val="clear" w:color="auto" w:fill="333399"/>
        <w:tabs>
          <w:tab w:val="left" w:pos="4111"/>
        </w:tabs>
        <w:spacing w:after="60"/>
        <w:rPr>
          <w:rFonts w:ascii="Arial" w:hAnsi="Arial" w:cs="Arial"/>
          <w:b/>
          <w:bCs/>
          <w:color w:val="FFFFFF" w:themeColor="background1"/>
        </w:rPr>
      </w:pPr>
      <w:r w:rsidRPr="005F6DA6">
        <w:rPr>
          <w:rFonts w:ascii="Arial" w:hAnsi="Arial" w:cs="Arial"/>
          <w:b/>
          <w:bCs/>
          <w:color w:val="FFFFFF" w:themeColor="background1"/>
        </w:rPr>
        <w:t>2</w:t>
      </w:r>
      <w:r w:rsidRPr="005F6DA6">
        <w:rPr>
          <w:rFonts w:ascii="Arial" w:hAnsi="Arial" w:cs="Arial"/>
          <w:b/>
          <w:bCs/>
          <w:color w:val="FFFFFF" w:themeColor="background1"/>
          <w:vertAlign w:val="superscript"/>
        </w:rPr>
        <w:t>ème</w:t>
      </w:r>
      <w:r w:rsidRPr="005F6DA6">
        <w:rPr>
          <w:rFonts w:ascii="Arial" w:hAnsi="Arial" w:cs="Arial"/>
          <w:b/>
          <w:bCs/>
          <w:color w:val="FFFFFF" w:themeColor="background1"/>
        </w:rPr>
        <w:t xml:space="preserve"> </w:t>
      </w:r>
      <w:r w:rsidR="004B38DB" w:rsidRPr="005F6DA6">
        <w:rPr>
          <w:rFonts w:ascii="Arial" w:hAnsi="Arial" w:cs="Arial"/>
          <w:b/>
          <w:bCs/>
          <w:color w:val="FFFFFF" w:themeColor="background1"/>
        </w:rPr>
        <w:t>Rencontre, 1</w:t>
      </w:r>
      <w:r w:rsidRPr="005F6DA6">
        <w:rPr>
          <w:rFonts w:ascii="Arial" w:hAnsi="Arial" w:cs="Arial"/>
          <w:b/>
          <w:bCs/>
          <w:color w:val="FFFFFF" w:themeColor="background1"/>
        </w:rPr>
        <w:t>1</w:t>
      </w:r>
      <w:r w:rsidR="004B38DB" w:rsidRPr="005F6DA6">
        <w:rPr>
          <w:rFonts w:ascii="Arial" w:hAnsi="Arial" w:cs="Arial"/>
          <w:b/>
          <w:bCs/>
          <w:color w:val="FFFFFF" w:themeColor="background1"/>
        </w:rPr>
        <w:t xml:space="preserve"> </w:t>
      </w:r>
      <w:r w:rsidRPr="005F6DA6">
        <w:rPr>
          <w:rFonts w:ascii="Arial" w:hAnsi="Arial" w:cs="Arial"/>
          <w:b/>
          <w:bCs/>
          <w:color w:val="FFFFFF" w:themeColor="background1"/>
        </w:rPr>
        <w:t>janvier</w:t>
      </w:r>
      <w:r w:rsidR="004B38DB" w:rsidRPr="005F6DA6">
        <w:rPr>
          <w:rFonts w:ascii="Arial" w:hAnsi="Arial" w:cs="Arial"/>
          <w:b/>
          <w:bCs/>
          <w:color w:val="FFFFFF" w:themeColor="background1"/>
        </w:rPr>
        <w:t xml:space="preserve"> 202</w:t>
      </w:r>
      <w:r w:rsidRPr="005F6DA6">
        <w:rPr>
          <w:rFonts w:ascii="Arial" w:hAnsi="Arial" w:cs="Arial"/>
          <w:b/>
          <w:bCs/>
          <w:color w:val="FFFFFF" w:themeColor="background1"/>
        </w:rPr>
        <w:t>1</w:t>
      </w:r>
    </w:p>
    <w:p w14:paraId="1AF999A2" w14:textId="7487971E" w:rsidR="0052624E" w:rsidRPr="005F6DA6" w:rsidRDefault="0052624E" w:rsidP="002F45DA">
      <w:pPr>
        <w:tabs>
          <w:tab w:val="left" w:pos="4111"/>
        </w:tabs>
        <w:spacing w:after="60"/>
        <w:rPr>
          <w:rFonts w:ascii="Arial" w:hAnsi="Arial" w:cs="Arial"/>
          <w:b/>
          <w:color w:val="595959" w:themeColor="text1" w:themeTint="A6"/>
        </w:rPr>
      </w:pPr>
      <w:r w:rsidRPr="005F6DA6">
        <w:rPr>
          <w:rFonts w:ascii="Arial" w:hAnsi="Arial" w:cs="Arial"/>
          <w:b/>
          <w:color w:val="595959" w:themeColor="text1" w:themeTint="A6"/>
        </w:rPr>
        <w:t>Invité</w:t>
      </w:r>
    </w:p>
    <w:p w14:paraId="08AD86F6" w14:textId="77777777" w:rsidR="00374E7B" w:rsidRPr="005F6DA6" w:rsidRDefault="00374E7B" w:rsidP="002F45DA">
      <w:pPr>
        <w:spacing w:after="60"/>
        <w:jc w:val="both"/>
        <w:rPr>
          <w:rFonts w:ascii="Arial" w:eastAsia="Times New Roman" w:hAnsi="Arial" w:cs="Arial"/>
          <w:bCs/>
          <w:iCs/>
          <w:color w:val="595959" w:themeColor="text1" w:themeTint="A6"/>
          <w:sz w:val="22"/>
          <w:szCs w:val="22"/>
        </w:rPr>
      </w:pPr>
      <w:r w:rsidRPr="005F6DA6">
        <w:rPr>
          <w:rFonts w:ascii="Arial" w:eastAsia="Times New Roman" w:hAnsi="Arial" w:cs="Arial"/>
          <w:bCs/>
          <w:iCs/>
          <w:color w:val="595959" w:themeColor="text1" w:themeTint="A6"/>
          <w:sz w:val="22"/>
          <w:szCs w:val="22"/>
        </w:rPr>
        <w:t>Pierre WINICKI</w:t>
      </w:r>
    </w:p>
    <w:p w14:paraId="41724FFC" w14:textId="1526F287" w:rsidR="00374E7B" w:rsidRPr="005F6DA6" w:rsidRDefault="00374E7B" w:rsidP="002F45DA">
      <w:pPr>
        <w:spacing w:after="60"/>
        <w:jc w:val="both"/>
        <w:rPr>
          <w:rFonts w:ascii="Arial" w:eastAsia="Times New Roman" w:hAnsi="Arial" w:cs="Arial"/>
          <w:bCs/>
          <w:i/>
          <w:iCs/>
          <w:color w:val="595959" w:themeColor="text1" w:themeTint="A6"/>
          <w:sz w:val="22"/>
          <w:szCs w:val="22"/>
        </w:rPr>
      </w:pPr>
      <w:r w:rsidRPr="005F6DA6">
        <w:rPr>
          <w:rFonts w:ascii="Arial" w:eastAsia="Times New Roman" w:hAnsi="Arial" w:cs="Arial"/>
          <w:bCs/>
          <w:i/>
          <w:iCs/>
          <w:color w:val="595959" w:themeColor="text1" w:themeTint="A6"/>
          <w:sz w:val="22"/>
          <w:szCs w:val="22"/>
        </w:rPr>
        <w:t>Président de Trustinside</w:t>
      </w:r>
    </w:p>
    <w:p w14:paraId="597344B2" w14:textId="77777777" w:rsidR="00374E7B" w:rsidRPr="005F6DA6" w:rsidRDefault="00374E7B" w:rsidP="002F45DA">
      <w:pPr>
        <w:spacing w:after="60"/>
        <w:rPr>
          <w:rFonts w:ascii="Arial" w:eastAsia="Times New Roman" w:hAnsi="Arial" w:cs="Arial"/>
          <w:color w:val="595959" w:themeColor="text1" w:themeTint="A6"/>
          <w:sz w:val="22"/>
          <w:szCs w:val="22"/>
        </w:rPr>
      </w:pPr>
      <w:r w:rsidRPr="005F6DA6">
        <w:rPr>
          <w:rStyle w:val="object"/>
          <w:rFonts w:ascii="Arial" w:eastAsia="Times New Roman" w:hAnsi="Arial" w:cs="Arial"/>
          <w:color w:val="595959" w:themeColor="text1" w:themeTint="A6"/>
          <w:sz w:val="22"/>
          <w:szCs w:val="22"/>
        </w:rPr>
        <w:fldChar w:fldCharType="begin"/>
      </w:r>
      <w:r w:rsidRPr="005F6DA6">
        <w:rPr>
          <w:rStyle w:val="object"/>
          <w:rFonts w:ascii="Arial" w:eastAsia="Times New Roman" w:hAnsi="Arial" w:cs="Arial"/>
          <w:color w:val="595959" w:themeColor="text1" w:themeTint="A6"/>
          <w:sz w:val="22"/>
          <w:szCs w:val="22"/>
        </w:rPr>
        <w:instrText xml:space="preserve"> HYPERLINK "http://www.trustinside.fr/" \t "_blank" </w:instrText>
      </w:r>
      <w:r w:rsidRPr="005F6DA6">
        <w:rPr>
          <w:rStyle w:val="object"/>
          <w:rFonts w:ascii="Arial" w:eastAsia="Times New Roman" w:hAnsi="Arial" w:cs="Arial"/>
          <w:color w:val="595959" w:themeColor="text1" w:themeTint="A6"/>
          <w:sz w:val="22"/>
          <w:szCs w:val="22"/>
        </w:rPr>
        <w:fldChar w:fldCharType="separate"/>
      </w:r>
      <w:r w:rsidRPr="005F6DA6">
        <w:rPr>
          <w:rStyle w:val="Lienhypertexte"/>
          <w:rFonts w:ascii="Arial" w:eastAsia="Times New Roman" w:hAnsi="Arial" w:cs="Arial"/>
          <w:color w:val="595959" w:themeColor="text1" w:themeTint="A6"/>
          <w:sz w:val="22"/>
          <w:szCs w:val="22"/>
        </w:rPr>
        <w:t>www.trustinside.fr</w:t>
      </w:r>
      <w:r w:rsidRPr="005F6DA6">
        <w:rPr>
          <w:rStyle w:val="object"/>
          <w:rFonts w:ascii="Arial" w:eastAsia="Times New Roman" w:hAnsi="Arial" w:cs="Arial"/>
          <w:color w:val="595959" w:themeColor="text1" w:themeTint="A6"/>
          <w:sz w:val="22"/>
          <w:szCs w:val="22"/>
        </w:rPr>
        <w:fldChar w:fldCharType="end"/>
      </w:r>
    </w:p>
    <w:p w14:paraId="361F4BD0" w14:textId="77777777" w:rsidR="00374E7B" w:rsidRPr="005F6DA6" w:rsidRDefault="00374E7B" w:rsidP="002F45DA">
      <w:pPr>
        <w:spacing w:after="60"/>
        <w:rPr>
          <w:rFonts w:ascii="Arial" w:eastAsia="Times New Roman" w:hAnsi="Arial" w:cs="Arial"/>
          <w:color w:val="595959" w:themeColor="text1" w:themeTint="A6"/>
          <w:sz w:val="22"/>
          <w:szCs w:val="22"/>
        </w:rPr>
      </w:pPr>
      <w:r w:rsidRPr="005F6DA6">
        <w:rPr>
          <w:rFonts w:ascii="Arial" w:eastAsia="Times New Roman" w:hAnsi="Arial" w:cs="Arial"/>
          <w:color w:val="595959" w:themeColor="text1" w:themeTint="A6"/>
          <w:sz w:val="22"/>
          <w:szCs w:val="22"/>
        </w:rPr>
        <w:t>Mooc :</w:t>
      </w:r>
      <w:r w:rsidRPr="005F6DA6">
        <w:rPr>
          <w:rStyle w:val="apple-converted-space"/>
          <w:rFonts w:ascii="Arial" w:eastAsia="Times New Roman" w:hAnsi="Arial" w:cs="Arial"/>
          <w:color w:val="595959" w:themeColor="text1" w:themeTint="A6"/>
          <w:sz w:val="22"/>
          <w:szCs w:val="22"/>
        </w:rPr>
        <w:t> </w:t>
      </w:r>
      <w:r w:rsidRPr="005F6DA6">
        <w:rPr>
          <w:rStyle w:val="object"/>
          <w:rFonts w:ascii="Arial" w:eastAsia="Times New Roman" w:hAnsi="Arial" w:cs="Arial"/>
          <w:color w:val="595959" w:themeColor="text1" w:themeTint="A6"/>
          <w:sz w:val="22"/>
          <w:szCs w:val="22"/>
        </w:rPr>
        <w:fldChar w:fldCharType="begin"/>
      </w:r>
      <w:r w:rsidRPr="005F6DA6">
        <w:rPr>
          <w:rStyle w:val="object"/>
          <w:rFonts w:ascii="Arial" w:eastAsia="Times New Roman" w:hAnsi="Arial" w:cs="Arial"/>
          <w:color w:val="595959" w:themeColor="text1" w:themeTint="A6"/>
          <w:sz w:val="22"/>
          <w:szCs w:val="22"/>
        </w:rPr>
        <w:instrText xml:space="preserve"> HYPERLINK "https://arbredeconfiance.trustinside.fr/" \t "_blank" </w:instrText>
      </w:r>
      <w:r w:rsidRPr="005F6DA6">
        <w:rPr>
          <w:rStyle w:val="object"/>
          <w:rFonts w:ascii="Arial" w:eastAsia="Times New Roman" w:hAnsi="Arial" w:cs="Arial"/>
          <w:color w:val="595959" w:themeColor="text1" w:themeTint="A6"/>
          <w:sz w:val="22"/>
          <w:szCs w:val="22"/>
        </w:rPr>
        <w:fldChar w:fldCharType="separate"/>
      </w:r>
      <w:r w:rsidRPr="005F6DA6">
        <w:rPr>
          <w:rStyle w:val="Lienhypertexte"/>
          <w:rFonts w:ascii="Arial" w:eastAsia="Times New Roman" w:hAnsi="Arial" w:cs="Arial"/>
          <w:color w:val="595959" w:themeColor="text1" w:themeTint="A6"/>
          <w:sz w:val="22"/>
          <w:szCs w:val="22"/>
        </w:rPr>
        <w:t>https://arbredeconfiance.trustinside.fr</w:t>
      </w:r>
      <w:r w:rsidRPr="005F6DA6">
        <w:rPr>
          <w:rStyle w:val="object"/>
          <w:rFonts w:ascii="Arial" w:eastAsia="Times New Roman" w:hAnsi="Arial" w:cs="Arial"/>
          <w:color w:val="595959" w:themeColor="text1" w:themeTint="A6"/>
          <w:sz w:val="22"/>
          <w:szCs w:val="22"/>
        </w:rPr>
        <w:fldChar w:fldCharType="end"/>
      </w:r>
    </w:p>
    <w:p w14:paraId="69AC3AA9" w14:textId="77777777" w:rsidR="00374E7B" w:rsidRPr="005F6DA6" w:rsidRDefault="00374E7B" w:rsidP="002F45DA">
      <w:pPr>
        <w:spacing w:after="60"/>
        <w:rPr>
          <w:rFonts w:ascii="Arial" w:eastAsia="Times New Roman" w:hAnsi="Arial" w:cs="Arial"/>
          <w:color w:val="595959" w:themeColor="text1" w:themeTint="A6"/>
          <w:sz w:val="22"/>
          <w:szCs w:val="22"/>
        </w:rPr>
      </w:pPr>
      <w:r w:rsidRPr="005F6DA6">
        <w:rPr>
          <w:rStyle w:val="object"/>
          <w:rFonts w:ascii="Arial" w:eastAsia="Times New Roman" w:hAnsi="Arial" w:cs="Arial"/>
          <w:color w:val="595959" w:themeColor="text1" w:themeTint="A6"/>
          <w:sz w:val="22"/>
          <w:szCs w:val="22"/>
        </w:rPr>
        <w:fldChar w:fldCharType="begin"/>
      </w:r>
      <w:r w:rsidRPr="005F6DA6">
        <w:rPr>
          <w:rStyle w:val="object"/>
          <w:rFonts w:ascii="Arial" w:eastAsia="Times New Roman" w:hAnsi="Arial" w:cs="Arial"/>
          <w:color w:val="595959" w:themeColor="text1" w:themeTint="A6"/>
          <w:sz w:val="22"/>
          <w:szCs w:val="22"/>
        </w:rPr>
        <w:instrText xml:space="preserve"> HYPERLINK "https://www.linkedin.com/in/winickiconfiance/" \t "_blank" </w:instrText>
      </w:r>
      <w:r w:rsidRPr="005F6DA6">
        <w:rPr>
          <w:rStyle w:val="object"/>
          <w:rFonts w:ascii="Arial" w:eastAsia="Times New Roman" w:hAnsi="Arial" w:cs="Arial"/>
          <w:color w:val="595959" w:themeColor="text1" w:themeTint="A6"/>
          <w:sz w:val="22"/>
          <w:szCs w:val="22"/>
        </w:rPr>
        <w:fldChar w:fldCharType="separate"/>
      </w:r>
      <w:r w:rsidRPr="005F6DA6">
        <w:rPr>
          <w:rStyle w:val="Lienhypertexte"/>
          <w:rFonts w:ascii="Arial" w:eastAsia="Times New Roman" w:hAnsi="Arial" w:cs="Arial"/>
          <w:color w:val="595959" w:themeColor="text1" w:themeTint="A6"/>
          <w:sz w:val="22"/>
          <w:szCs w:val="22"/>
        </w:rPr>
        <w:t>https://www.linkedin.com/in/winickiconfiance/</w:t>
      </w:r>
      <w:r w:rsidRPr="005F6DA6">
        <w:rPr>
          <w:rStyle w:val="object"/>
          <w:rFonts w:ascii="Arial" w:eastAsia="Times New Roman" w:hAnsi="Arial" w:cs="Arial"/>
          <w:color w:val="595959" w:themeColor="text1" w:themeTint="A6"/>
          <w:sz w:val="22"/>
          <w:szCs w:val="22"/>
        </w:rPr>
        <w:fldChar w:fldCharType="end"/>
      </w:r>
    </w:p>
    <w:p w14:paraId="2A81CFFD" w14:textId="77777777" w:rsidR="004E5561" w:rsidRPr="005F6DA6" w:rsidRDefault="004E5561" w:rsidP="002F45DA">
      <w:pPr>
        <w:tabs>
          <w:tab w:val="left" w:pos="4111"/>
        </w:tabs>
        <w:spacing w:after="60"/>
        <w:rPr>
          <w:rFonts w:ascii="Arial" w:hAnsi="Arial" w:cs="Arial"/>
          <w:color w:val="595959" w:themeColor="text1" w:themeTint="A6"/>
        </w:rPr>
      </w:pPr>
    </w:p>
    <w:p w14:paraId="04F69305" w14:textId="77777777" w:rsidR="0052624E" w:rsidRPr="005F6DA6" w:rsidRDefault="0052624E" w:rsidP="002F45DA">
      <w:pPr>
        <w:tabs>
          <w:tab w:val="left" w:pos="4111"/>
        </w:tabs>
        <w:spacing w:after="60"/>
        <w:rPr>
          <w:rFonts w:ascii="Arial" w:hAnsi="Arial" w:cs="Arial"/>
          <w:color w:val="595959" w:themeColor="text1" w:themeTint="A6"/>
        </w:rPr>
      </w:pPr>
    </w:p>
    <w:p w14:paraId="6E0EFD11" w14:textId="77777777" w:rsidR="0052624E" w:rsidRDefault="0052624E" w:rsidP="002F45DA">
      <w:pPr>
        <w:tabs>
          <w:tab w:val="left" w:pos="4111"/>
        </w:tabs>
        <w:spacing w:after="60"/>
        <w:rPr>
          <w:rFonts w:ascii="Arial" w:hAnsi="Arial" w:cs="Arial"/>
          <w:color w:val="595959" w:themeColor="text1" w:themeTint="A6"/>
        </w:rPr>
      </w:pPr>
    </w:p>
    <w:p w14:paraId="60673267" w14:textId="77777777" w:rsidR="00C80B9E" w:rsidRPr="005F6DA6" w:rsidRDefault="00C80B9E" w:rsidP="002F45DA">
      <w:pPr>
        <w:tabs>
          <w:tab w:val="left" w:pos="4111"/>
        </w:tabs>
        <w:spacing w:after="60"/>
        <w:rPr>
          <w:rFonts w:ascii="Arial" w:hAnsi="Arial" w:cs="Arial"/>
          <w:color w:val="595959" w:themeColor="text1" w:themeTint="A6"/>
        </w:rPr>
      </w:pPr>
    </w:p>
    <w:p w14:paraId="11284F9D" w14:textId="783662A9" w:rsidR="004B38DB" w:rsidRPr="002F45DA" w:rsidRDefault="004B38DB" w:rsidP="002F45DA">
      <w:pPr>
        <w:shd w:val="clear" w:color="auto" w:fill="333399"/>
        <w:spacing w:after="60"/>
        <w:jc w:val="both"/>
        <w:rPr>
          <w:rFonts w:ascii="Arial" w:hAnsi="Arial" w:cs="Arial"/>
          <w:b/>
          <w:bCs/>
          <w:color w:val="FFFFFF" w:themeColor="background1"/>
        </w:rPr>
      </w:pPr>
      <w:r w:rsidRPr="002F45DA">
        <w:rPr>
          <w:rFonts w:ascii="Arial" w:hAnsi="Arial" w:cs="Arial"/>
          <w:b/>
          <w:bCs/>
          <w:color w:val="FFFFFF" w:themeColor="background1"/>
        </w:rPr>
        <w:t>Plan du compte-rendu</w:t>
      </w:r>
    </w:p>
    <w:p w14:paraId="67500D4B" w14:textId="77777777" w:rsidR="00F01C61" w:rsidRPr="005F6DA6" w:rsidRDefault="00F01C61" w:rsidP="002F45DA">
      <w:pPr>
        <w:spacing w:after="60"/>
        <w:jc w:val="both"/>
        <w:rPr>
          <w:rFonts w:ascii="Arial" w:hAnsi="Arial" w:cs="Arial"/>
          <w:b/>
          <w:color w:val="595959" w:themeColor="text1" w:themeTint="A6"/>
        </w:rPr>
      </w:pPr>
    </w:p>
    <w:p w14:paraId="3E68D8AF" w14:textId="56967FE9" w:rsidR="005F6DA6" w:rsidRPr="005F6DA6" w:rsidRDefault="005F6DA6" w:rsidP="002F45DA">
      <w:pPr>
        <w:spacing w:after="60"/>
        <w:jc w:val="both"/>
        <w:rPr>
          <w:rFonts w:ascii="Arial" w:hAnsi="Arial" w:cs="Arial"/>
          <w:b/>
          <w:color w:val="595959" w:themeColor="text1" w:themeTint="A6"/>
        </w:rPr>
      </w:pPr>
      <w:r w:rsidRPr="005F6DA6">
        <w:rPr>
          <w:rFonts w:ascii="Arial" w:hAnsi="Arial" w:cs="Arial"/>
          <w:b/>
          <w:color w:val="595959" w:themeColor="text1" w:themeTint="A6"/>
        </w:rPr>
        <w:t xml:space="preserve">I. Synthèse </w:t>
      </w:r>
    </w:p>
    <w:p w14:paraId="1C3571C2" w14:textId="77777777" w:rsidR="005F6DA6" w:rsidRPr="005F6DA6" w:rsidRDefault="005F6DA6" w:rsidP="002F45DA">
      <w:pPr>
        <w:spacing w:after="60"/>
        <w:rPr>
          <w:rFonts w:ascii="Arial" w:hAnsi="Arial" w:cs="Arial"/>
          <w:b/>
          <w:bCs/>
          <w:color w:val="595959" w:themeColor="text1" w:themeTint="A6"/>
        </w:rPr>
      </w:pPr>
      <w:r w:rsidRPr="005F6DA6">
        <w:rPr>
          <w:rFonts w:ascii="Arial" w:hAnsi="Arial" w:cs="Arial"/>
          <w:b/>
          <w:bCs/>
          <w:color w:val="595959" w:themeColor="text1" w:themeTint="A6"/>
        </w:rPr>
        <w:t>Crise sanitaire : comment objectiver les facteurs                                                                                       de la confiance et de la défiance pour mieux agir ?</w:t>
      </w:r>
    </w:p>
    <w:p w14:paraId="574D9694" w14:textId="156EF2C8"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Une démarche basée sur le modèle de l’Arbre de Confiance</w:t>
      </w:r>
    </w:p>
    <w:p w14:paraId="07DBDA3E" w14:textId="04526096" w:rsidR="005C7874" w:rsidRPr="005F6DA6" w:rsidRDefault="005C7874" w:rsidP="002F45DA">
      <w:pPr>
        <w:spacing w:after="60"/>
        <w:jc w:val="both"/>
        <w:rPr>
          <w:rFonts w:ascii="Arial" w:hAnsi="Arial" w:cs="Arial"/>
          <w:b/>
          <w:color w:val="595959" w:themeColor="text1" w:themeTint="A6"/>
        </w:rPr>
      </w:pPr>
      <w:r w:rsidRPr="005F6DA6">
        <w:rPr>
          <w:rFonts w:ascii="Arial" w:hAnsi="Arial" w:cs="Arial"/>
          <w:b/>
          <w:color w:val="595959" w:themeColor="text1" w:themeTint="A6"/>
        </w:rPr>
        <w:lastRenderedPageBreak/>
        <w:t>I</w:t>
      </w:r>
      <w:r w:rsidR="00F01C61" w:rsidRPr="005F6DA6">
        <w:rPr>
          <w:rFonts w:ascii="Arial" w:hAnsi="Arial" w:cs="Arial"/>
          <w:b/>
          <w:color w:val="595959" w:themeColor="text1" w:themeTint="A6"/>
        </w:rPr>
        <w:t>I</w:t>
      </w:r>
      <w:r w:rsidRPr="005F6DA6">
        <w:rPr>
          <w:rFonts w:ascii="Arial" w:hAnsi="Arial" w:cs="Arial"/>
          <w:b/>
          <w:color w:val="595959" w:themeColor="text1" w:themeTint="A6"/>
        </w:rPr>
        <w:t xml:space="preserve">. Notes, suite de l’intervention de </w:t>
      </w:r>
      <w:r w:rsidR="00BA06E7" w:rsidRPr="005F6DA6">
        <w:rPr>
          <w:rFonts w:ascii="Arial" w:hAnsi="Arial" w:cs="Arial"/>
          <w:b/>
          <w:color w:val="595959" w:themeColor="text1" w:themeTint="A6"/>
        </w:rPr>
        <w:t>Pierre WINICKI</w:t>
      </w:r>
    </w:p>
    <w:p w14:paraId="74080500" w14:textId="5CE17808" w:rsidR="005C7874" w:rsidRPr="005F6DA6" w:rsidRDefault="005C7874" w:rsidP="002F45DA">
      <w:pPr>
        <w:spacing w:after="60"/>
        <w:jc w:val="both"/>
        <w:rPr>
          <w:rFonts w:ascii="Arial" w:eastAsia="Times New Roman" w:hAnsi="Arial" w:cs="Arial"/>
          <w:color w:val="595959" w:themeColor="text1" w:themeTint="A6"/>
        </w:rPr>
      </w:pPr>
      <w:r w:rsidRPr="005F6DA6">
        <w:rPr>
          <w:rFonts w:ascii="Arial" w:hAnsi="Arial" w:cs="Arial"/>
          <w:color w:val="595959" w:themeColor="text1" w:themeTint="A6"/>
        </w:rPr>
        <w:t xml:space="preserve">1. </w:t>
      </w:r>
      <w:r w:rsidRPr="005F6DA6">
        <w:rPr>
          <w:rFonts w:ascii="Arial" w:eastAsia="Times New Roman" w:hAnsi="Arial" w:cs="Arial"/>
          <w:color w:val="595959" w:themeColor="text1" w:themeTint="A6"/>
        </w:rPr>
        <w:t>Catherine OLLIVET</w:t>
      </w:r>
    </w:p>
    <w:p w14:paraId="72B4BA32" w14:textId="094AC74D" w:rsidR="005C7874" w:rsidRPr="005F6DA6" w:rsidRDefault="00F01C61" w:rsidP="002F45DA">
      <w:pPr>
        <w:pStyle w:val="Titre2"/>
        <w:spacing w:before="0" w:after="60" w:line="240" w:lineRule="auto"/>
        <w:rPr>
          <w:rFonts w:ascii="Arial" w:hAnsi="Arial" w:cs="Arial"/>
          <w:color w:val="595959" w:themeColor="text1" w:themeTint="A6"/>
          <w:sz w:val="24"/>
          <w:szCs w:val="24"/>
        </w:rPr>
      </w:pPr>
      <w:r w:rsidRPr="005F6DA6">
        <w:rPr>
          <w:rFonts w:ascii="Arial" w:hAnsi="Arial" w:cs="Arial"/>
          <w:color w:val="595959" w:themeColor="text1" w:themeTint="A6"/>
          <w:sz w:val="24"/>
          <w:szCs w:val="24"/>
        </w:rPr>
        <w:t>2</w:t>
      </w:r>
      <w:r w:rsidR="005C7874" w:rsidRPr="005F6DA6">
        <w:rPr>
          <w:rFonts w:ascii="Arial" w:hAnsi="Arial" w:cs="Arial"/>
          <w:color w:val="595959" w:themeColor="text1" w:themeTint="A6"/>
          <w:sz w:val="24"/>
          <w:szCs w:val="24"/>
        </w:rPr>
        <w:t xml:space="preserve">. </w:t>
      </w:r>
      <w:r w:rsidRPr="005F6DA6">
        <w:rPr>
          <w:rFonts w:ascii="Arial" w:hAnsi="Arial" w:cs="Arial"/>
          <w:color w:val="595959" w:themeColor="text1" w:themeTint="A6"/>
          <w:sz w:val="24"/>
          <w:szCs w:val="24"/>
        </w:rPr>
        <w:t>François BLOT</w:t>
      </w:r>
    </w:p>
    <w:p w14:paraId="1A581145" w14:textId="083C1731" w:rsidR="005C7874" w:rsidRPr="005F6DA6" w:rsidRDefault="00F01C61" w:rsidP="002F45DA">
      <w:pPr>
        <w:spacing w:after="60"/>
        <w:jc w:val="both"/>
        <w:rPr>
          <w:rFonts w:ascii="Arial" w:hAnsi="Arial" w:cs="Arial"/>
          <w:color w:val="595959" w:themeColor="text1" w:themeTint="A6"/>
        </w:rPr>
      </w:pPr>
      <w:r w:rsidRPr="005F6DA6">
        <w:rPr>
          <w:rFonts w:ascii="Arial" w:hAnsi="Arial" w:cs="Arial"/>
          <w:color w:val="595959" w:themeColor="text1" w:themeTint="A6"/>
        </w:rPr>
        <w:t>3</w:t>
      </w:r>
      <w:r w:rsidR="005C7874" w:rsidRPr="005F6DA6">
        <w:rPr>
          <w:rFonts w:ascii="Arial" w:hAnsi="Arial" w:cs="Arial"/>
          <w:color w:val="595959" w:themeColor="text1" w:themeTint="A6"/>
        </w:rPr>
        <w:t xml:space="preserve">. </w:t>
      </w:r>
      <w:r w:rsidRPr="005F6DA6">
        <w:rPr>
          <w:rFonts w:ascii="Arial" w:hAnsi="Arial" w:cs="Arial"/>
          <w:color w:val="595959" w:themeColor="text1" w:themeTint="A6"/>
        </w:rPr>
        <w:t>Daniel OPPENHEIM</w:t>
      </w:r>
    </w:p>
    <w:p w14:paraId="548B40CE" w14:textId="364926EE" w:rsidR="004B38DB" w:rsidRPr="005F6DA6" w:rsidRDefault="004B38DB" w:rsidP="002F45DA">
      <w:pPr>
        <w:spacing w:after="60"/>
        <w:rPr>
          <w:rFonts w:ascii="Arial" w:hAnsi="Arial" w:cs="Arial"/>
          <w:color w:val="595959" w:themeColor="text1" w:themeTint="A6"/>
        </w:rPr>
      </w:pPr>
    </w:p>
    <w:p w14:paraId="23B3C7D2" w14:textId="77777777" w:rsidR="005F6DA6" w:rsidRPr="005F6DA6" w:rsidRDefault="005F6DA6" w:rsidP="002F45DA">
      <w:pPr>
        <w:spacing w:after="60"/>
        <w:rPr>
          <w:rFonts w:ascii="Arial" w:hAnsi="Arial" w:cs="Arial"/>
          <w:color w:val="595959" w:themeColor="text1" w:themeTint="A6"/>
        </w:rPr>
      </w:pPr>
    </w:p>
    <w:p w14:paraId="7B580157" w14:textId="7A384DDA" w:rsidR="005F6DA6" w:rsidRPr="005F6DA6" w:rsidRDefault="005F6DA6" w:rsidP="002F45DA">
      <w:pPr>
        <w:spacing w:after="60"/>
        <w:jc w:val="center"/>
        <w:rPr>
          <w:rFonts w:ascii="Arial" w:hAnsi="Arial" w:cs="Arial"/>
          <w:color w:val="595959" w:themeColor="text1" w:themeTint="A6"/>
        </w:rPr>
      </w:pPr>
      <w:r w:rsidRPr="005F6DA6">
        <w:rPr>
          <w:rFonts w:ascii="Arial" w:hAnsi="Arial" w:cs="Arial"/>
          <w:noProof/>
          <w:color w:val="595959" w:themeColor="text1" w:themeTint="A6"/>
        </w:rPr>
        <w:drawing>
          <wp:inline distT="0" distB="0" distL="0" distR="0" wp14:anchorId="5D0FB016" wp14:editId="3DE31AA1">
            <wp:extent cx="489203" cy="365764"/>
            <wp:effectExtent l="0" t="0" r="0" b="0"/>
            <wp:docPr id="22" name="Image 22"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p>
    <w:p w14:paraId="43058740" w14:textId="77777777" w:rsidR="005F6DA6" w:rsidRPr="005F6DA6" w:rsidRDefault="005F6DA6" w:rsidP="002F45DA">
      <w:pPr>
        <w:spacing w:after="60"/>
        <w:rPr>
          <w:rFonts w:ascii="Arial" w:hAnsi="Arial" w:cs="Arial"/>
          <w:color w:val="595959" w:themeColor="text1" w:themeTint="A6"/>
        </w:rPr>
      </w:pPr>
    </w:p>
    <w:p w14:paraId="4C8155C6" w14:textId="77777777" w:rsidR="005F6DA6" w:rsidRPr="005F6DA6" w:rsidRDefault="005F6DA6" w:rsidP="002F45DA">
      <w:pPr>
        <w:spacing w:after="60"/>
        <w:jc w:val="both"/>
        <w:rPr>
          <w:rFonts w:ascii="Arial" w:hAnsi="Arial" w:cs="Arial"/>
          <w:b/>
          <w:color w:val="595959" w:themeColor="text1" w:themeTint="A6"/>
        </w:rPr>
      </w:pPr>
    </w:p>
    <w:p w14:paraId="328C80B6" w14:textId="18C46B1E" w:rsidR="005F6DA6" w:rsidRPr="005F6DA6" w:rsidRDefault="005F6DA6" w:rsidP="002F45DA">
      <w:pPr>
        <w:spacing w:after="60"/>
        <w:jc w:val="both"/>
        <w:rPr>
          <w:rFonts w:ascii="Arial" w:hAnsi="Arial" w:cs="Arial"/>
          <w:b/>
          <w:color w:val="595959" w:themeColor="text1" w:themeTint="A6"/>
        </w:rPr>
      </w:pPr>
      <w:r w:rsidRPr="005F6DA6">
        <w:rPr>
          <w:rFonts w:ascii="Arial" w:hAnsi="Arial" w:cs="Arial"/>
          <w:b/>
          <w:color w:val="595959" w:themeColor="text1" w:themeTint="A6"/>
        </w:rPr>
        <w:t xml:space="preserve">I. Synthèse </w:t>
      </w:r>
    </w:p>
    <w:p w14:paraId="53329A09" w14:textId="77777777" w:rsidR="005F6DA6" w:rsidRPr="005F6DA6" w:rsidRDefault="005F6DA6" w:rsidP="002F45DA">
      <w:pPr>
        <w:spacing w:after="60"/>
        <w:rPr>
          <w:rFonts w:ascii="Arial" w:hAnsi="Arial" w:cs="Arial"/>
          <w:b/>
          <w:bCs/>
          <w:color w:val="595959" w:themeColor="text1" w:themeTint="A6"/>
        </w:rPr>
      </w:pPr>
      <w:r w:rsidRPr="005F6DA6">
        <w:rPr>
          <w:rFonts w:ascii="Arial" w:hAnsi="Arial" w:cs="Arial"/>
          <w:b/>
          <w:bCs/>
          <w:color w:val="595959" w:themeColor="text1" w:themeTint="A6"/>
        </w:rPr>
        <w:t>Crise sanitaire : comment objectiver les facteurs                                                                                       de la confiance et de la défiance pour mieux agir ?</w:t>
      </w:r>
    </w:p>
    <w:p w14:paraId="574C35E4" w14:textId="77777777"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Une démarche basée sur le modèle de l’Arbre de Confiance</w:t>
      </w:r>
    </w:p>
    <w:p w14:paraId="4BA5F8B2" w14:textId="77777777" w:rsidR="005F6DA6" w:rsidRPr="005F6DA6" w:rsidRDefault="005F6DA6" w:rsidP="002F45DA">
      <w:pPr>
        <w:spacing w:after="60"/>
        <w:jc w:val="both"/>
        <w:rPr>
          <w:rFonts w:ascii="Arial" w:hAnsi="Arial" w:cs="Arial"/>
          <w:color w:val="595959" w:themeColor="text1" w:themeTint="A6"/>
        </w:rPr>
      </w:pPr>
    </w:p>
    <w:p w14:paraId="4DB8D629" w14:textId="77777777" w:rsidR="005F6DA6" w:rsidRPr="005F6DA6" w:rsidRDefault="005F6DA6" w:rsidP="002F45DA">
      <w:pPr>
        <w:spacing w:after="60"/>
        <w:jc w:val="both"/>
        <w:rPr>
          <w:rFonts w:ascii="Arial" w:hAnsi="Arial" w:cs="Arial"/>
          <w:b/>
          <w:color w:val="595959" w:themeColor="text1" w:themeTint="A6"/>
        </w:rPr>
      </w:pPr>
      <w:r w:rsidRPr="005F6DA6">
        <w:rPr>
          <w:rFonts w:ascii="Arial" w:hAnsi="Arial" w:cs="Arial"/>
          <w:b/>
          <w:color w:val="595959" w:themeColor="text1" w:themeTint="A6"/>
        </w:rPr>
        <w:t>Pierre Winicki</w:t>
      </w:r>
    </w:p>
    <w:p w14:paraId="5184035E" w14:textId="50CF27DA" w:rsidR="005F6DA6" w:rsidRPr="005F6DA6" w:rsidRDefault="005F6DA6" w:rsidP="002F45DA">
      <w:pPr>
        <w:spacing w:after="60"/>
        <w:jc w:val="both"/>
        <w:rPr>
          <w:rFonts w:ascii="Arial" w:hAnsi="Arial" w:cs="Arial"/>
          <w:i/>
          <w:color w:val="595959" w:themeColor="text1" w:themeTint="A6"/>
        </w:rPr>
      </w:pPr>
      <w:r w:rsidRPr="005F6DA6">
        <w:rPr>
          <w:rFonts w:ascii="Arial" w:hAnsi="Arial" w:cs="Arial"/>
          <w:i/>
          <w:color w:val="595959" w:themeColor="text1" w:themeTint="A6"/>
        </w:rPr>
        <w:t>Président de TrustInside, fondateur de l’Institut Confiances</w:t>
      </w:r>
    </w:p>
    <w:p w14:paraId="50820291" w14:textId="77777777" w:rsidR="005F6DA6" w:rsidRPr="005F6DA6" w:rsidRDefault="005F6DA6" w:rsidP="002F45DA">
      <w:pPr>
        <w:spacing w:after="60"/>
        <w:jc w:val="both"/>
        <w:rPr>
          <w:rFonts w:ascii="Arial" w:hAnsi="Arial" w:cs="Arial"/>
          <w:color w:val="595959" w:themeColor="text1" w:themeTint="A6"/>
        </w:rPr>
      </w:pPr>
    </w:p>
    <w:p w14:paraId="26A95137" w14:textId="77777777"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Les principaux événements qui ont marqué la pandémie depuis son apparition nous renvoient à des rapports de confiance – et plus souvent de défiance – entre les acteurs de la crise : incohérence dans les annonces gouvernementales quant à l’utilité des masques ; (in)disponibilité des tests ; divergence d’analyse entre experts sur l’efficacité des traitements ; lenteur de montée en puissance des vaccins, manque de clarté dans les messages relatifs au confinement …   </w:t>
      </w:r>
    </w:p>
    <w:p w14:paraId="4CB8EE08" w14:textId="77777777"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L’une des illustrations les plus récentes et particulièrement symptomatiques d’une culture de défiance, a été cette phrase exprimée devant des journalistes par le Ministre de la Santé, Olivier Véran, il y a quelques semaines, lors de la mise à disposition des vaccins. À la question </w:t>
      </w:r>
      <w:r w:rsidRPr="005F6DA6">
        <w:rPr>
          <w:rFonts w:ascii="Arial" w:hAnsi="Arial" w:cs="Arial"/>
          <w:i/>
          <w:iCs/>
          <w:color w:val="595959" w:themeColor="text1" w:themeTint="A6"/>
        </w:rPr>
        <w:t>« Monsieur le Ministre, allez-vous vous faire vacciner ? »</w:t>
      </w:r>
      <w:r w:rsidRPr="005F6DA6">
        <w:rPr>
          <w:rFonts w:ascii="Arial" w:hAnsi="Arial" w:cs="Arial"/>
          <w:color w:val="595959" w:themeColor="text1" w:themeTint="A6"/>
        </w:rPr>
        <w:t xml:space="preserve">, le ministre, espérant sans doute faire preuve d’honnêteté, voire d’altruisme, a répondu : </w:t>
      </w:r>
      <w:r w:rsidRPr="005F6DA6">
        <w:rPr>
          <w:rFonts w:ascii="Arial" w:hAnsi="Arial" w:cs="Arial"/>
          <w:i/>
          <w:iCs/>
          <w:color w:val="595959" w:themeColor="text1" w:themeTint="A6"/>
        </w:rPr>
        <w:t>« Que penserait-on d’un ministre qui se ferait vacciner devant les caméras ? Nos concitoyens auraient tout lieu de penser que je me suis fait injecter un placebo ! Il est plus important de laisser la priorité aux personnes fragiles, à risque. »</w:t>
      </w:r>
      <w:r w:rsidRPr="005F6DA6">
        <w:rPr>
          <w:rFonts w:ascii="Arial" w:hAnsi="Arial" w:cs="Arial"/>
          <w:color w:val="595959" w:themeColor="text1" w:themeTint="A6"/>
        </w:rPr>
        <w:t xml:space="preserve"> </w:t>
      </w:r>
    </w:p>
    <w:p w14:paraId="489D6AF8" w14:textId="5D16FDFF"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Extraordinaire cheminement intellectuel du ministre, dont le comportement est dicté par « l’anticipation d’un comportement futur de la population face à sa propre décision »… expression typique d’une méthode de communication relevant des prophéties auto-réalisatrices ; et attitude aux antipodes mêmes de l’authenticité et de la clarté des intentions, au cœur des principaux facteurs constitutifs d’une culture ou de pratiques de confiance.</w:t>
      </w:r>
    </w:p>
    <w:p w14:paraId="5A1D8A94" w14:textId="77777777"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Or justement, pour espérer agir sur la confiance et la défiance, dans le cas présent à l’aune de la pandémie, comment identifier, comment objectiver quels en sont les facteurs (habitus) constitutifs ? Comment mesurer précisément leur niveau d’intensité ? Puis sur la base de cette « cartographie » et selon les parties prenantes impliquées (Gouvernement, ARS, haute autorité, experts, collectivités, hôpitaux, citoyens, médias…), comment définir sur quels ressorts agir, et dans quel ordre, pour lutter contre la défiance et renforcer la confiance ? </w:t>
      </w:r>
    </w:p>
    <w:p w14:paraId="3A5A2B7B" w14:textId="77777777"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C’est pour répondre à cette question que « L’Arbre de Confiance », présenté le 11 janvier 2021 dans le cadre de la web-conférence organisée par le Cercle Ethique &amp; Pandémie, pourrait constituer un modèle d’analyse et de prise de décision pour les principaux décideurs publics. Ce modèle, fruit de 3 ans de R&amp;D menés dès 2012 par une centaine de contributeurs pluridisciplinaires du think tank Institut Confiances, permet d’objectiver, de mesurer et d’agir sur les 7 principaux facteurs constitutifs de la confiance. L’Arbre de Confiance a depuis 2015 servi de méthode de prise de décision face à nombre d’enjeux complexes dans lesquels la confiance et la défiance constituaient des enjeux-clés : Gouvernance d’Etats (en lien avec la Banque mondiale et l’UNESCO), leadership et management d’entreprises et d’institutions publiques, amélioration du climat scolaire (en lien avec l’OCDE)…</w:t>
      </w:r>
    </w:p>
    <w:p w14:paraId="3042CDC0" w14:textId="64B085AE" w:rsidR="005F6DA6" w:rsidRPr="005F6DA6" w:rsidRDefault="005F6DA6" w:rsidP="002F45DA">
      <w:pPr>
        <w:spacing w:after="60"/>
        <w:jc w:val="both"/>
        <w:rPr>
          <w:rFonts w:ascii="Arial" w:hAnsi="Arial" w:cs="Arial"/>
          <w:color w:val="595959" w:themeColor="text1" w:themeTint="A6"/>
        </w:rPr>
      </w:pPr>
      <w:r w:rsidRPr="005F6DA6">
        <w:rPr>
          <w:rFonts w:ascii="Arial" w:hAnsi="Arial" w:cs="Arial"/>
          <w:color w:val="595959" w:themeColor="text1" w:themeTint="A6"/>
        </w:rPr>
        <w:t>Étant ainsi capables d’objectiver les constituants de la confiance, à quand un « Index Global de Confiance » permettant d’anticiper et de piloter, au « plus fin », l’évolution de la crise sanitaire pour s’assurer du soutien de la population et des principaux acteurs concernés ?</w:t>
      </w:r>
    </w:p>
    <w:p w14:paraId="4622726C" w14:textId="77777777" w:rsidR="005F6DA6" w:rsidRPr="005F6DA6" w:rsidRDefault="005F6DA6" w:rsidP="002F45DA">
      <w:pPr>
        <w:spacing w:after="60"/>
        <w:rPr>
          <w:rFonts w:ascii="Arial" w:hAnsi="Arial" w:cs="Arial"/>
          <w:color w:val="595959" w:themeColor="text1" w:themeTint="A6"/>
        </w:rPr>
      </w:pPr>
    </w:p>
    <w:p w14:paraId="6D0A4237" w14:textId="77777777" w:rsidR="005C7874" w:rsidRPr="005F6DA6" w:rsidRDefault="005C7874" w:rsidP="002F45DA">
      <w:pPr>
        <w:spacing w:after="60"/>
        <w:rPr>
          <w:rFonts w:ascii="Arial" w:hAnsi="Arial" w:cs="Arial"/>
          <w:color w:val="595959" w:themeColor="text1" w:themeTint="A6"/>
        </w:rPr>
      </w:pPr>
    </w:p>
    <w:p w14:paraId="7D45BBA9" w14:textId="77777777" w:rsidR="0052624E" w:rsidRPr="005F6DA6" w:rsidRDefault="0052624E" w:rsidP="002F45DA">
      <w:pPr>
        <w:spacing w:after="60"/>
        <w:jc w:val="both"/>
        <w:rPr>
          <w:rFonts w:ascii="Arial" w:eastAsia="Times New Roman" w:hAnsi="Arial" w:cs="Arial"/>
          <w:color w:val="595959" w:themeColor="text1" w:themeTint="A6"/>
          <w:shd w:val="clear" w:color="auto" w:fill="FDFDFD"/>
        </w:rPr>
      </w:pPr>
    </w:p>
    <w:p w14:paraId="773D340F" w14:textId="2F675453" w:rsidR="0052624E" w:rsidRPr="005F6DA6" w:rsidRDefault="005F6DA6" w:rsidP="002F45DA">
      <w:pPr>
        <w:spacing w:after="60"/>
        <w:ind w:left="720"/>
        <w:jc w:val="both"/>
        <w:rPr>
          <w:rFonts w:ascii="Arial" w:eastAsia="Times New Roman" w:hAnsi="Arial" w:cs="Arial"/>
          <w:color w:val="595959" w:themeColor="text1" w:themeTint="A6"/>
          <w:shd w:val="clear" w:color="auto" w:fill="FDFDFD"/>
        </w:rPr>
      </w:pPr>
      <w:r w:rsidRPr="005F6DA6">
        <w:rPr>
          <w:rFonts w:ascii="Arial" w:hAnsi="Arial" w:cs="Arial"/>
          <w:noProof/>
          <w:color w:val="595959" w:themeColor="text1" w:themeTint="A6"/>
          <w:sz w:val="40"/>
          <w:szCs w:val="40"/>
        </w:rPr>
        <w:drawing>
          <wp:inline distT="0" distB="0" distL="0" distR="0" wp14:anchorId="2A1AC228" wp14:editId="2879A85B">
            <wp:extent cx="5844157" cy="4133486"/>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222" cy="4136361"/>
                    </a:xfrm>
                    <a:prstGeom prst="rect">
                      <a:avLst/>
                    </a:prstGeom>
                    <a:noFill/>
                    <a:ln>
                      <a:noFill/>
                    </a:ln>
                  </pic:spPr>
                </pic:pic>
              </a:graphicData>
            </a:graphic>
          </wp:inline>
        </w:drawing>
      </w:r>
    </w:p>
    <w:p w14:paraId="133F1037" w14:textId="77777777" w:rsidR="00F01C61" w:rsidRPr="005F6DA6" w:rsidRDefault="00F01C61" w:rsidP="002F45DA">
      <w:pPr>
        <w:spacing w:after="60"/>
        <w:ind w:left="720"/>
        <w:jc w:val="both"/>
        <w:rPr>
          <w:rFonts w:ascii="Arial" w:eastAsia="Times New Roman" w:hAnsi="Arial" w:cs="Arial"/>
          <w:color w:val="595959" w:themeColor="text1" w:themeTint="A6"/>
          <w:shd w:val="clear" w:color="auto" w:fill="FDFDFD"/>
        </w:rPr>
      </w:pPr>
    </w:p>
    <w:p w14:paraId="755DD6F5" w14:textId="77777777" w:rsidR="00F01C61" w:rsidRPr="005F6DA6" w:rsidRDefault="00F01C61" w:rsidP="002F45DA">
      <w:pPr>
        <w:spacing w:after="60"/>
        <w:ind w:left="720"/>
        <w:jc w:val="both"/>
        <w:rPr>
          <w:rFonts w:ascii="Arial" w:eastAsia="Times New Roman" w:hAnsi="Arial" w:cs="Arial"/>
          <w:color w:val="595959" w:themeColor="text1" w:themeTint="A6"/>
          <w:shd w:val="clear" w:color="auto" w:fill="FDFDFD"/>
        </w:rPr>
      </w:pPr>
    </w:p>
    <w:p w14:paraId="2C0C7210" w14:textId="77777777" w:rsidR="00F01C61" w:rsidRPr="005F6DA6" w:rsidRDefault="00F01C61" w:rsidP="002F45DA">
      <w:pPr>
        <w:spacing w:after="60"/>
        <w:ind w:left="720"/>
        <w:jc w:val="both"/>
        <w:rPr>
          <w:rFonts w:ascii="Arial" w:eastAsia="Times New Roman" w:hAnsi="Arial" w:cs="Arial"/>
          <w:color w:val="595959" w:themeColor="text1" w:themeTint="A6"/>
          <w:shd w:val="clear" w:color="auto" w:fill="FDFDFD"/>
        </w:rPr>
      </w:pPr>
    </w:p>
    <w:p w14:paraId="022534F4" w14:textId="77777777" w:rsidR="00F01C61" w:rsidRPr="005F6DA6" w:rsidRDefault="00F01C61" w:rsidP="002F45DA">
      <w:pPr>
        <w:tabs>
          <w:tab w:val="left" w:pos="4111"/>
        </w:tabs>
        <w:spacing w:after="60"/>
        <w:jc w:val="center"/>
        <w:rPr>
          <w:rFonts w:ascii="Arial" w:hAnsi="Arial" w:cs="Arial"/>
          <w:color w:val="595959" w:themeColor="text1" w:themeTint="A6"/>
        </w:rPr>
      </w:pPr>
      <w:r w:rsidRPr="005F6DA6">
        <w:rPr>
          <w:rFonts w:ascii="Arial" w:hAnsi="Arial" w:cs="Arial"/>
          <w:noProof/>
          <w:color w:val="595959" w:themeColor="text1" w:themeTint="A6"/>
        </w:rPr>
        <w:drawing>
          <wp:inline distT="0" distB="0" distL="0" distR="0" wp14:anchorId="3FB14CAD" wp14:editId="0FD75760">
            <wp:extent cx="489203" cy="365764"/>
            <wp:effectExtent l="0" t="0" r="0" b="0"/>
            <wp:docPr id="15" name="Image 15"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533FBF23" wp14:editId="4F948392">
            <wp:extent cx="489203" cy="365764"/>
            <wp:effectExtent l="0" t="0" r="0" b="0"/>
            <wp:docPr id="16" name="Image 16"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0F885A6C" wp14:editId="7D01A7AA">
            <wp:extent cx="489203" cy="365764"/>
            <wp:effectExtent l="0" t="0" r="0" b="0"/>
            <wp:docPr id="17" name="Image 17"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p>
    <w:p w14:paraId="686D2F02" w14:textId="77777777" w:rsidR="00F01C61" w:rsidRPr="005F6DA6" w:rsidRDefault="00F01C61" w:rsidP="002F45DA">
      <w:pPr>
        <w:tabs>
          <w:tab w:val="left" w:pos="4111"/>
        </w:tabs>
        <w:spacing w:after="60"/>
        <w:jc w:val="center"/>
        <w:rPr>
          <w:rFonts w:ascii="Arial" w:hAnsi="Arial" w:cs="Arial"/>
          <w:color w:val="595959" w:themeColor="text1" w:themeTint="A6"/>
        </w:rPr>
      </w:pPr>
      <w:r w:rsidRPr="005F6DA6">
        <w:rPr>
          <w:rFonts w:ascii="Arial" w:hAnsi="Arial" w:cs="Arial"/>
          <w:noProof/>
          <w:color w:val="595959" w:themeColor="text1" w:themeTint="A6"/>
        </w:rPr>
        <w:drawing>
          <wp:inline distT="0" distB="0" distL="0" distR="0" wp14:anchorId="438A1B12" wp14:editId="243D5430">
            <wp:extent cx="489203" cy="365764"/>
            <wp:effectExtent l="0" t="0" r="0" b="0"/>
            <wp:docPr id="18" name="Image 18"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5FD37653" wp14:editId="4E6F3388">
            <wp:extent cx="489203" cy="365764"/>
            <wp:effectExtent l="0" t="0" r="0" b="0"/>
            <wp:docPr id="19" name="Image 19"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1B18B908" wp14:editId="1E7F2C78">
            <wp:extent cx="489203" cy="365764"/>
            <wp:effectExtent l="0" t="0" r="0" b="0"/>
            <wp:docPr id="20" name="Image 20"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p>
    <w:p w14:paraId="7480896E" w14:textId="77777777" w:rsidR="00F01C61" w:rsidRPr="005F6DA6" w:rsidRDefault="00F01C61" w:rsidP="002F45DA">
      <w:pPr>
        <w:spacing w:after="60"/>
        <w:ind w:left="720"/>
        <w:jc w:val="both"/>
        <w:rPr>
          <w:rFonts w:ascii="Arial" w:eastAsia="Times New Roman" w:hAnsi="Arial" w:cs="Arial"/>
          <w:color w:val="595959" w:themeColor="text1" w:themeTint="A6"/>
          <w:shd w:val="clear" w:color="auto" w:fill="FDFDFD"/>
        </w:rPr>
      </w:pPr>
    </w:p>
    <w:p w14:paraId="55CAC2BE" w14:textId="77777777" w:rsidR="00F01C61" w:rsidRPr="005F6DA6" w:rsidRDefault="00F01C61" w:rsidP="002F45DA">
      <w:pPr>
        <w:spacing w:after="60"/>
        <w:ind w:left="720"/>
        <w:jc w:val="both"/>
        <w:rPr>
          <w:rFonts w:ascii="Arial" w:eastAsia="Times New Roman" w:hAnsi="Arial" w:cs="Arial"/>
          <w:color w:val="595959" w:themeColor="text1" w:themeTint="A6"/>
          <w:shd w:val="clear" w:color="auto" w:fill="FDFDFD"/>
        </w:rPr>
      </w:pPr>
    </w:p>
    <w:p w14:paraId="40692C1C" w14:textId="2DACB5E4" w:rsidR="0029709C" w:rsidRPr="005F6DA6" w:rsidRDefault="00F01C61" w:rsidP="002F45DA">
      <w:pPr>
        <w:spacing w:after="60"/>
        <w:jc w:val="both"/>
        <w:rPr>
          <w:rFonts w:ascii="Arial" w:hAnsi="Arial" w:cs="Arial"/>
          <w:b/>
          <w:color w:val="595959" w:themeColor="text1" w:themeTint="A6"/>
        </w:rPr>
      </w:pPr>
      <w:r w:rsidRPr="005F6DA6">
        <w:rPr>
          <w:rFonts w:ascii="Arial" w:hAnsi="Arial" w:cs="Arial"/>
          <w:b/>
          <w:color w:val="595959" w:themeColor="text1" w:themeTint="A6"/>
        </w:rPr>
        <w:t>II</w:t>
      </w:r>
      <w:r w:rsidR="005C7874" w:rsidRPr="005F6DA6">
        <w:rPr>
          <w:rFonts w:ascii="Arial" w:hAnsi="Arial" w:cs="Arial"/>
          <w:b/>
          <w:color w:val="595959" w:themeColor="text1" w:themeTint="A6"/>
        </w:rPr>
        <w:t xml:space="preserve">. </w:t>
      </w:r>
      <w:r w:rsidR="0029709C" w:rsidRPr="005F6DA6">
        <w:rPr>
          <w:rFonts w:ascii="Arial" w:hAnsi="Arial" w:cs="Arial"/>
          <w:b/>
          <w:color w:val="595959" w:themeColor="text1" w:themeTint="A6"/>
        </w:rPr>
        <w:t>Note</w:t>
      </w:r>
      <w:r w:rsidR="0097354C" w:rsidRPr="005F6DA6">
        <w:rPr>
          <w:rFonts w:ascii="Arial" w:hAnsi="Arial" w:cs="Arial"/>
          <w:b/>
          <w:color w:val="595959" w:themeColor="text1" w:themeTint="A6"/>
        </w:rPr>
        <w:t>s,</w:t>
      </w:r>
      <w:r w:rsidR="0029709C" w:rsidRPr="005F6DA6">
        <w:rPr>
          <w:rFonts w:ascii="Arial" w:hAnsi="Arial" w:cs="Arial"/>
          <w:b/>
          <w:color w:val="595959" w:themeColor="text1" w:themeTint="A6"/>
        </w:rPr>
        <w:t xml:space="preserve"> suite </w:t>
      </w:r>
      <w:r w:rsidR="00500A7E" w:rsidRPr="005F6DA6">
        <w:rPr>
          <w:rFonts w:ascii="Arial" w:hAnsi="Arial" w:cs="Arial"/>
          <w:b/>
          <w:color w:val="595959" w:themeColor="text1" w:themeTint="A6"/>
        </w:rPr>
        <w:t>à</w:t>
      </w:r>
      <w:r w:rsidR="0029709C" w:rsidRPr="005F6DA6">
        <w:rPr>
          <w:rFonts w:ascii="Arial" w:hAnsi="Arial" w:cs="Arial"/>
          <w:b/>
          <w:color w:val="595959" w:themeColor="text1" w:themeTint="A6"/>
        </w:rPr>
        <w:t xml:space="preserve"> l’intervention de </w:t>
      </w:r>
      <w:r w:rsidR="00500A7E" w:rsidRPr="005F6DA6">
        <w:rPr>
          <w:rFonts w:ascii="Arial" w:hAnsi="Arial" w:cs="Arial"/>
          <w:b/>
          <w:color w:val="595959" w:themeColor="text1" w:themeTint="A6"/>
        </w:rPr>
        <w:t>Pierre WINICKI</w:t>
      </w:r>
    </w:p>
    <w:p w14:paraId="375AE3A8" w14:textId="77777777" w:rsidR="00AA38FF" w:rsidRPr="005F6DA6" w:rsidRDefault="00AA38FF" w:rsidP="002F45DA">
      <w:pPr>
        <w:spacing w:after="60"/>
        <w:jc w:val="both"/>
        <w:rPr>
          <w:rFonts w:ascii="Arial" w:hAnsi="Arial" w:cs="Arial"/>
          <w:b/>
          <w:color w:val="595959" w:themeColor="text1" w:themeTint="A6"/>
        </w:rPr>
      </w:pPr>
    </w:p>
    <w:p w14:paraId="1333856C" w14:textId="77777777" w:rsidR="0097354C" w:rsidRPr="005F6DA6" w:rsidRDefault="0097354C" w:rsidP="002F45DA">
      <w:pPr>
        <w:spacing w:after="60"/>
        <w:jc w:val="both"/>
        <w:rPr>
          <w:rFonts w:ascii="Arial" w:hAnsi="Arial" w:cs="Arial"/>
          <w:b/>
          <w:color w:val="595959" w:themeColor="text1" w:themeTint="A6"/>
        </w:rPr>
      </w:pPr>
    </w:p>
    <w:p w14:paraId="150D67D8" w14:textId="0354DBC8" w:rsidR="0097354C" w:rsidRPr="005F6DA6" w:rsidRDefault="000A574B" w:rsidP="002F45DA">
      <w:pPr>
        <w:spacing w:after="60"/>
        <w:jc w:val="both"/>
        <w:rPr>
          <w:rFonts w:ascii="Arial" w:hAnsi="Arial" w:cs="Arial"/>
          <w:b/>
          <w:color w:val="595959" w:themeColor="text1" w:themeTint="A6"/>
        </w:rPr>
      </w:pPr>
      <w:r w:rsidRPr="005F6DA6">
        <w:rPr>
          <w:rFonts w:ascii="Arial" w:hAnsi="Arial" w:cs="Arial"/>
          <w:b/>
          <w:color w:val="595959" w:themeColor="text1" w:themeTint="A6"/>
        </w:rPr>
        <w:t xml:space="preserve">1. </w:t>
      </w:r>
      <w:r w:rsidR="00500A7E" w:rsidRPr="005F6DA6">
        <w:rPr>
          <w:rFonts w:ascii="Arial" w:hAnsi="Arial" w:cs="Arial"/>
          <w:b/>
          <w:color w:val="595959" w:themeColor="text1" w:themeTint="A6"/>
        </w:rPr>
        <w:t>Catherine OLLIVET</w:t>
      </w:r>
    </w:p>
    <w:p w14:paraId="3E55906D" w14:textId="152BFE88" w:rsidR="0097354C" w:rsidRPr="005F6DA6" w:rsidRDefault="0097354C" w:rsidP="002F45DA">
      <w:pPr>
        <w:spacing w:after="60"/>
        <w:jc w:val="both"/>
        <w:rPr>
          <w:rFonts w:ascii="Arial" w:hAnsi="Arial" w:cs="Arial"/>
          <w:b/>
          <w:color w:val="595959" w:themeColor="text1" w:themeTint="A6"/>
        </w:rPr>
      </w:pPr>
    </w:p>
    <w:p w14:paraId="53D05E2E" w14:textId="02E75351" w:rsidR="00500A7E" w:rsidRPr="005F6DA6" w:rsidRDefault="00500A7E" w:rsidP="002F45DA">
      <w:pPr>
        <w:spacing w:after="60"/>
        <w:jc w:val="both"/>
        <w:rPr>
          <w:rFonts w:ascii="Arial" w:hAnsi="Arial" w:cs="Arial"/>
          <w:b/>
          <w:color w:val="595959" w:themeColor="text1" w:themeTint="A6"/>
        </w:rPr>
      </w:pPr>
      <w:r w:rsidRPr="005F6DA6">
        <w:rPr>
          <w:rFonts w:ascii="Arial" w:hAnsi="Arial" w:cs="Arial"/>
          <w:b/>
          <w:color w:val="595959" w:themeColor="text1" w:themeTint="A6"/>
        </w:rPr>
        <w:t>Comment mesurer la confiance et comment agir sur la confiance ?</w:t>
      </w:r>
    </w:p>
    <w:p w14:paraId="381A7E41" w14:textId="77777777"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Pierre Winicki pose 2 questions : comment mesurer la confiance et comment agir sur la confiance ?</w:t>
      </w:r>
    </w:p>
    <w:p w14:paraId="6B6A4DDD" w14:textId="77777777"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Avec en contre-point 2 autres questions : la défiance est-elle une conséquence des troubles de la société, ou la défiance est elle une cause des troubles de la société face, par exemple, à la vaccination ? </w:t>
      </w:r>
    </w:p>
    <w:p w14:paraId="683A17B6" w14:textId="77777777"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L’intervenant présente les 7 éléments en forme de puzzle de la feuillure de l’arbre de la confiance qu’il appelle les 7 « habitus » (terme qui aurait mérité d’être explicité) :</w:t>
      </w:r>
    </w:p>
    <w:p w14:paraId="17AC87D9" w14:textId="77777777" w:rsidR="00500A7E" w:rsidRPr="005F6DA6" w:rsidRDefault="00500A7E" w:rsidP="002F45DA">
      <w:pPr>
        <w:pStyle w:val="Paragraphedeliste"/>
        <w:numPr>
          <w:ilvl w:val="0"/>
          <w:numId w:val="3"/>
        </w:numPr>
        <w:spacing w:after="60"/>
        <w:jc w:val="both"/>
        <w:rPr>
          <w:rFonts w:ascii="Arial" w:hAnsi="Arial" w:cs="Arial"/>
          <w:color w:val="595959" w:themeColor="text1" w:themeTint="A6"/>
        </w:rPr>
      </w:pPr>
      <w:r w:rsidRPr="005F6DA6">
        <w:rPr>
          <w:rFonts w:ascii="Arial" w:hAnsi="Arial" w:cs="Arial"/>
          <w:color w:val="595959" w:themeColor="text1" w:themeTint="A6"/>
        </w:rPr>
        <w:t>la co-responsabilité, coopération, émulation ;</w:t>
      </w:r>
    </w:p>
    <w:p w14:paraId="50E4446E" w14:textId="77777777" w:rsidR="00500A7E" w:rsidRPr="005F6DA6" w:rsidRDefault="00500A7E" w:rsidP="002F45DA">
      <w:pPr>
        <w:pStyle w:val="Paragraphedeliste"/>
        <w:numPr>
          <w:ilvl w:val="0"/>
          <w:numId w:val="3"/>
        </w:numPr>
        <w:spacing w:after="60"/>
        <w:jc w:val="both"/>
        <w:rPr>
          <w:rFonts w:ascii="Arial" w:hAnsi="Arial" w:cs="Arial"/>
          <w:color w:val="595959" w:themeColor="text1" w:themeTint="A6"/>
        </w:rPr>
      </w:pPr>
      <w:r w:rsidRPr="005F6DA6">
        <w:rPr>
          <w:rFonts w:ascii="Arial" w:hAnsi="Arial" w:cs="Arial"/>
          <w:color w:val="595959" w:themeColor="text1" w:themeTint="A6"/>
        </w:rPr>
        <w:t>l’empathie, bienveillance, reconnaissance, acceptation de la différence ;</w:t>
      </w:r>
    </w:p>
    <w:p w14:paraId="60221D6E" w14:textId="77777777" w:rsidR="00500A7E" w:rsidRPr="005F6DA6" w:rsidRDefault="00500A7E" w:rsidP="002F45DA">
      <w:pPr>
        <w:pStyle w:val="Paragraphedeliste"/>
        <w:numPr>
          <w:ilvl w:val="0"/>
          <w:numId w:val="3"/>
        </w:numPr>
        <w:spacing w:after="60"/>
        <w:jc w:val="both"/>
        <w:rPr>
          <w:rFonts w:ascii="Arial" w:hAnsi="Arial" w:cs="Arial"/>
          <w:color w:val="595959" w:themeColor="text1" w:themeTint="A6"/>
        </w:rPr>
      </w:pPr>
      <w:r w:rsidRPr="005F6DA6">
        <w:rPr>
          <w:rFonts w:ascii="Arial" w:hAnsi="Arial" w:cs="Arial"/>
          <w:color w:val="595959" w:themeColor="text1" w:themeTint="A6"/>
        </w:rPr>
        <w:t>la cohérence entre paroles et actes, lisibilité et respect des règles du jeu, honnêteté, authenticité, loyauté ;</w:t>
      </w:r>
    </w:p>
    <w:p w14:paraId="17CFED44" w14:textId="77777777" w:rsidR="00500A7E" w:rsidRPr="005F6DA6" w:rsidRDefault="00500A7E" w:rsidP="002F45DA">
      <w:pPr>
        <w:pStyle w:val="Paragraphedeliste"/>
        <w:numPr>
          <w:ilvl w:val="0"/>
          <w:numId w:val="3"/>
        </w:numPr>
        <w:spacing w:after="60"/>
        <w:jc w:val="both"/>
        <w:rPr>
          <w:rFonts w:ascii="Arial" w:hAnsi="Arial" w:cs="Arial"/>
          <w:color w:val="595959" w:themeColor="text1" w:themeTint="A6"/>
        </w:rPr>
      </w:pPr>
      <w:r w:rsidRPr="005F6DA6">
        <w:rPr>
          <w:rFonts w:ascii="Arial" w:hAnsi="Arial" w:cs="Arial"/>
          <w:color w:val="595959" w:themeColor="text1" w:themeTint="A6"/>
        </w:rPr>
        <w:t>l’indépendance de jugement face aux conflits d’intérêts ou de valeurs ;</w:t>
      </w:r>
    </w:p>
    <w:p w14:paraId="1ECDF730" w14:textId="77777777" w:rsidR="00500A7E" w:rsidRPr="005F6DA6" w:rsidRDefault="00500A7E" w:rsidP="002F45DA">
      <w:pPr>
        <w:pStyle w:val="Paragraphedeliste"/>
        <w:numPr>
          <w:ilvl w:val="0"/>
          <w:numId w:val="3"/>
        </w:numPr>
        <w:spacing w:after="60"/>
        <w:jc w:val="both"/>
        <w:rPr>
          <w:rFonts w:ascii="Arial" w:hAnsi="Arial" w:cs="Arial"/>
          <w:color w:val="595959" w:themeColor="text1" w:themeTint="A6"/>
        </w:rPr>
      </w:pPr>
      <w:r w:rsidRPr="005F6DA6">
        <w:rPr>
          <w:rFonts w:ascii="Arial" w:hAnsi="Arial" w:cs="Arial"/>
          <w:color w:val="595959" w:themeColor="text1" w:themeTint="A6"/>
        </w:rPr>
        <w:t>l’acceptation de l’incertitude, du risque et de la complexité ;</w:t>
      </w:r>
    </w:p>
    <w:p w14:paraId="5E90A9BA" w14:textId="77777777" w:rsidR="00500A7E" w:rsidRPr="005F6DA6" w:rsidRDefault="00500A7E" w:rsidP="002F45DA">
      <w:pPr>
        <w:pStyle w:val="Paragraphedeliste"/>
        <w:numPr>
          <w:ilvl w:val="0"/>
          <w:numId w:val="3"/>
        </w:numPr>
        <w:spacing w:after="60"/>
        <w:jc w:val="both"/>
        <w:rPr>
          <w:rFonts w:ascii="Arial" w:hAnsi="Arial" w:cs="Arial"/>
          <w:color w:val="595959" w:themeColor="text1" w:themeTint="A6"/>
        </w:rPr>
      </w:pPr>
      <w:r w:rsidRPr="005F6DA6">
        <w:rPr>
          <w:rFonts w:ascii="Arial" w:hAnsi="Arial" w:cs="Arial"/>
          <w:color w:val="595959" w:themeColor="text1" w:themeTint="A6"/>
        </w:rPr>
        <w:t xml:space="preserve">l’acceptation du droit à l’échec ou à l’erreur, du droit à la réussite et au bonheur : ce dernier élément aurait sans doute mérité d’être explicité car si l’échec/erreur et réussite se font écho, erreur et bonheur, en dehors de rimer, ne semblent pas relever du même champ lexical. </w:t>
      </w:r>
    </w:p>
    <w:p w14:paraId="6ECC34BC" w14:textId="77777777"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Chacun de ces éléments est constitutif d’une évaluation globale de la confiance, et peut donc évoluer selon les circonstances, chaque « habitus » de la feuillure pouvant passer du vert (confiance) au jaune (doute) et au rouge (défiance).</w:t>
      </w:r>
    </w:p>
    <w:p w14:paraId="2B100D47" w14:textId="77777777"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Peut intervenir également la notion de temporalité : la confiance à court terme ou à long terme, et son rapport au passé et à la mémoire. Une notion qui aurait sans doute également mérité d’être approfondie car elle peut jouer un rôle, non pas dans la confiance globale, du plus beau vert de l’arbre, mais dans le désir d’être vacciné dans les populations les plus âgées, cibles prioritaires actuelles d’accès à la vaccination. Ainsi les personnes âgées ayant connu les ravages de la poliomyélite ou de la rougeole avant que les vaccinations n’apparaissent, mémoire à long terme, et connaissant le haut taux de mortalité des personnes âgées dans cette dernière pandémie de la Covid-19, mémoire à court terme, peuvent souhaiter majoritairement être vaccinées, même si leur confiance n’est pas totale dans ce nouveau vaccin. C’est bien d’ailleurs ce qui semble se passer dans le phénomène actuel d’engorgement des prises de rendez-vous pour la vaccination des populations prioritaires âgées par rapport aux doses disponibles. </w:t>
      </w:r>
    </w:p>
    <w:p w14:paraId="21DA35BC" w14:textId="77777777"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L’arbre de la confiance permet sans doute d’évaluer beaucoup plus finement les éléments de la confiance et leur évolution par la diversité et la complémentarité de ses  habitus, par rapport à ce que peut faire un sondage ou même un baromètre de sondages régulièrement répétés dont les questions sont le plus souvent beaucoup plus globalisantes, par rapport à la finesse des approches de chaque habitus. </w:t>
      </w:r>
    </w:p>
    <w:p w14:paraId="4B4C3813" w14:textId="77777777"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Mais une approche mémorielle du risque semble nécessaire dans les vagues successives programmées pour l’accès à la vaccination par le gouvernement, selon les livraisons des doses vaccinales, puisque les notions d’âge ont une part majoritaire dans cette programmation.  </w:t>
      </w:r>
    </w:p>
    <w:p w14:paraId="05512FAE" w14:textId="77777777" w:rsidR="0097354C" w:rsidRPr="005F6DA6" w:rsidRDefault="0097354C" w:rsidP="002F45DA">
      <w:pPr>
        <w:spacing w:after="60"/>
        <w:rPr>
          <w:rFonts w:ascii="Arial" w:hAnsi="Arial" w:cs="Arial"/>
          <w:color w:val="595959" w:themeColor="text1" w:themeTint="A6"/>
        </w:rPr>
      </w:pPr>
    </w:p>
    <w:p w14:paraId="43D72BFE" w14:textId="77777777" w:rsidR="00443217" w:rsidRPr="005F6DA6" w:rsidRDefault="00443217" w:rsidP="002F45DA">
      <w:pPr>
        <w:spacing w:after="60"/>
        <w:jc w:val="center"/>
        <w:rPr>
          <w:rFonts w:ascii="Arial" w:hAnsi="Arial" w:cs="Arial"/>
          <w:color w:val="595959" w:themeColor="text1" w:themeTint="A6"/>
        </w:rPr>
      </w:pPr>
    </w:p>
    <w:p w14:paraId="48721C7B" w14:textId="11CCC2E9" w:rsidR="000A574B" w:rsidRPr="005F6DA6" w:rsidRDefault="00C34743" w:rsidP="002F45DA">
      <w:pPr>
        <w:spacing w:after="60"/>
        <w:jc w:val="center"/>
        <w:rPr>
          <w:rFonts w:ascii="Arial" w:hAnsi="Arial" w:cs="Arial"/>
          <w:color w:val="595959" w:themeColor="text1" w:themeTint="A6"/>
        </w:rPr>
      </w:pPr>
      <w:r w:rsidRPr="005F6DA6">
        <w:rPr>
          <w:rFonts w:ascii="Arial" w:hAnsi="Arial" w:cs="Arial"/>
          <w:noProof/>
          <w:color w:val="595959" w:themeColor="text1" w:themeTint="A6"/>
        </w:rPr>
        <w:drawing>
          <wp:inline distT="0" distB="0" distL="0" distR="0" wp14:anchorId="1DC18790" wp14:editId="2ED44FBD">
            <wp:extent cx="489203" cy="365764"/>
            <wp:effectExtent l="0" t="0" r="0" b="0"/>
            <wp:docPr id="1" name="Image 1"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p>
    <w:p w14:paraId="2B99B399" w14:textId="77777777" w:rsidR="00C34743" w:rsidRPr="005F6DA6" w:rsidRDefault="00C34743" w:rsidP="002F45DA">
      <w:pPr>
        <w:spacing w:after="60"/>
        <w:jc w:val="center"/>
        <w:rPr>
          <w:rFonts w:ascii="Arial" w:hAnsi="Arial" w:cs="Arial"/>
          <w:color w:val="595959" w:themeColor="text1" w:themeTint="A6"/>
        </w:rPr>
      </w:pPr>
    </w:p>
    <w:p w14:paraId="428BCDF9" w14:textId="77777777" w:rsidR="00C34743" w:rsidRPr="005F6DA6" w:rsidRDefault="00C34743" w:rsidP="002F45DA">
      <w:pPr>
        <w:spacing w:after="60"/>
        <w:jc w:val="center"/>
        <w:rPr>
          <w:rFonts w:ascii="Arial" w:hAnsi="Arial" w:cs="Arial"/>
          <w:color w:val="595959" w:themeColor="text1" w:themeTint="A6"/>
        </w:rPr>
      </w:pPr>
    </w:p>
    <w:p w14:paraId="380A2B83" w14:textId="1C027B4B" w:rsidR="000A574B" w:rsidRPr="005F6DA6" w:rsidRDefault="000A574B" w:rsidP="002F45DA">
      <w:pPr>
        <w:spacing w:after="60"/>
        <w:jc w:val="both"/>
        <w:rPr>
          <w:rFonts w:ascii="Arial" w:eastAsia="Times New Roman" w:hAnsi="Arial" w:cs="Arial"/>
          <w:b/>
          <w:color w:val="595959" w:themeColor="text1" w:themeTint="A6"/>
        </w:rPr>
      </w:pPr>
      <w:r w:rsidRPr="005F6DA6">
        <w:rPr>
          <w:rFonts w:ascii="Arial" w:eastAsia="Times New Roman" w:hAnsi="Arial" w:cs="Arial"/>
          <w:b/>
          <w:color w:val="595959" w:themeColor="text1" w:themeTint="A6"/>
        </w:rPr>
        <w:t xml:space="preserve">2. </w:t>
      </w:r>
      <w:r w:rsidR="00500A7E" w:rsidRPr="005F6DA6">
        <w:rPr>
          <w:rFonts w:ascii="Arial" w:eastAsia="Times New Roman" w:hAnsi="Arial" w:cs="Arial"/>
          <w:b/>
          <w:color w:val="595959" w:themeColor="text1" w:themeTint="A6"/>
        </w:rPr>
        <w:t>François BLOT</w:t>
      </w:r>
    </w:p>
    <w:p w14:paraId="6E4CD478" w14:textId="2640AA10" w:rsidR="00500A7E" w:rsidRPr="005F6DA6" w:rsidRDefault="000A574B" w:rsidP="002F45DA">
      <w:pPr>
        <w:spacing w:after="60"/>
        <w:jc w:val="both"/>
        <w:rPr>
          <w:rFonts w:ascii="Arial" w:hAnsi="Arial" w:cs="Arial"/>
          <w:b/>
          <w:color w:val="595959" w:themeColor="text1" w:themeTint="A6"/>
        </w:rPr>
      </w:pPr>
      <w:r w:rsidRPr="005F6DA6">
        <w:rPr>
          <w:rFonts w:ascii="Arial" w:eastAsia="Times New Roman" w:hAnsi="Arial" w:cs="Arial"/>
          <w:color w:val="595959" w:themeColor="text1" w:themeTint="A6"/>
        </w:rPr>
        <w:br/>
      </w:r>
      <w:r w:rsidR="00500A7E" w:rsidRPr="005F6DA6">
        <w:rPr>
          <w:rFonts w:ascii="Arial" w:hAnsi="Arial" w:cs="Arial"/>
          <w:b/>
          <w:color w:val="595959" w:themeColor="text1" w:themeTint="A6"/>
        </w:rPr>
        <w:t>De la prise de décision partagée à l’Arbre de Confiance</w:t>
      </w:r>
    </w:p>
    <w:p w14:paraId="147FFBFA" w14:textId="09BCA136"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Les facteurs de confiance dans une décision politique (ici, la politique de santé) ont une parenté très forte avec les mécanismes de la décision médicale. Chemin de crête entre le schéma paternaliste et la décision dite informée, la Prise de Décision Partagée (PDP, ou SDM : Shared Decision Making*</w:t>
      </w:r>
      <w:r w:rsidR="00C10B59" w:rsidRPr="005F6DA6">
        <w:rPr>
          <w:rStyle w:val="Marquenotebasdepage"/>
          <w:rFonts w:ascii="Arial" w:hAnsi="Arial" w:cs="Arial"/>
          <w:color w:val="595959" w:themeColor="text1" w:themeTint="A6"/>
        </w:rPr>
        <w:footnoteReference w:id="1"/>
      </w:r>
      <w:r w:rsidRPr="005F6DA6">
        <w:rPr>
          <w:rFonts w:ascii="Arial" w:hAnsi="Arial" w:cs="Arial"/>
          <w:color w:val="595959" w:themeColor="text1" w:themeTint="A6"/>
        </w:rPr>
        <w:t xml:space="preserve">) constitue un modèle de codécision dans lequel la stratégie vaccinale pourrait puiser une large inspiration. La PDP constitue un processus, une acculturation vers un rééquilibrage de la relation soigné-soignant (culture que pourront soutenir des outils d’aide à la décision). Ce processus est basé sur la reconnaissance de l’incertitude en médecine (environ 50 % des décisions en médecine sont prises en contexte d’incertitude), la reconnaissance et la mise en écoute des valeurs et préférences du patient, et la codécision. La PDP augmente la satisfaction de la part du patient, diminue son anxiété, réduit le regret décisionnel et constitue un terreau favorable, par la codécision, à une adhésion et une alliance thérapeutique renforcées. </w:t>
      </w:r>
    </w:p>
    <w:p w14:paraId="0CF26D61" w14:textId="67B1639D"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Après l’écoute des valeurs et préférences du patient, l’informer qu’une décision doit être prise, le recensement des données de la connaissance médicale disponibles, la reconnaissance bilatérale de l’expertise scientifique et académique du médecin, en même temps que des valeurs et du savoir expérientiel du patient, permet une décision co-construite. Les données de la littérature sont abondantes*, et bien que plus réduite, il existe également une production française.</w:t>
      </w:r>
    </w:p>
    <w:p w14:paraId="4B5AE79F" w14:textId="5C575F6E" w:rsidR="00500A7E" w:rsidRPr="005F6DA6" w:rsidRDefault="00500A7E" w:rsidP="002F45DA">
      <w:pPr>
        <w:spacing w:after="60"/>
        <w:jc w:val="both"/>
        <w:rPr>
          <w:rFonts w:ascii="Arial" w:hAnsi="Arial" w:cs="Arial"/>
          <w:color w:val="595959" w:themeColor="text1" w:themeTint="A6"/>
        </w:rPr>
      </w:pPr>
      <w:r w:rsidRPr="005F6DA6">
        <w:rPr>
          <w:rFonts w:ascii="Arial" w:hAnsi="Arial" w:cs="Arial"/>
          <w:color w:val="595959" w:themeColor="text1" w:themeTint="A6"/>
        </w:rPr>
        <w:t xml:space="preserve">On trouve ainsi, dans la PDP, l’illustration de la </w:t>
      </w:r>
      <w:r w:rsidRPr="005F6DA6">
        <w:rPr>
          <w:rFonts w:ascii="Arial" w:hAnsi="Arial" w:cs="Arial"/>
          <w:i/>
          <w:color w:val="595959" w:themeColor="text1" w:themeTint="A6"/>
        </w:rPr>
        <w:t>coresponsabilité</w:t>
      </w:r>
      <w:r w:rsidRPr="005F6DA6">
        <w:rPr>
          <w:rFonts w:ascii="Arial" w:hAnsi="Arial" w:cs="Arial"/>
          <w:color w:val="595959" w:themeColor="text1" w:themeTint="A6"/>
        </w:rPr>
        <w:t xml:space="preserve">, de </w:t>
      </w:r>
      <w:r w:rsidRPr="005F6DA6">
        <w:rPr>
          <w:rFonts w:ascii="Arial" w:hAnsi="Arial" w:cs="Arial"/>
          <w:i/>
          <w:color w:val="595959" w:themeColor="text1" w:themeTint="A6"/>
        </w:rPr>
        <w:t>l’acceptation de la différence</w:t>
      </w:r>
      <w:r w:rsidRPr="005F6DA6">
        <w:rPr>
          <w:rFonts w:ascii="Arial" w:hAnsi="Arial" w:cs="Arial"/>
          <w:color w:val="595959" w:themeColor="text1" w:themeTint="A6"/>
        </w:rPr>
        <w:t xml:space="preserve">, de </w:t>
      </w:r>
      <w:r w:rsidRPr="005F6DA6">
        <w:rPr>
          <w:rFonts w:ascii="Arial" w:hAnsi="Arial" w:cs="Arial"/>
          <w:i/>
          <w:color w:val="595959" w:themeColor="text1" w:themeTint="A6"/>
        </w:rPr>
        <w:t>la cohérence entre les règles et les actes</w:t>
      </w:r>
      <w:r w:rsidRPr="005F6DA6">
        <w:rPr>
          <w:rFonts w:ascii="Arial" w:hAnsi="Arial" w:cs="Arial"/>
          <w:color w:val="595959" w:themeColor="text1" w:themeTint="A6"/>
        </w:rPr>
        <w:t xml:space="preserve">, de l’acceptation de </w:t>
      </w:r>
      <w:r w:rsidRPr="005F6DA6">
        <w:rPr>
          <w:rFonts w:ascii="Arial" w:hAnsi="Arial" w:cs="Arial"/>
          <w:i/>
          <w:color w:val="595959" w:themeColor="text1" w:themeTint="A6"/>
        </w:rPr>
        <w:t>l’incertitude</w:t>
      </w:r>
      <w:r w:rsidRPr="005F6DA6">
        <w:rPr>
          <w:rFonts w:ascii="Arial" w:hAnsi="Arial" w:cs="Arial"/>
          <w:color w:val="595959" w:themeColor="text1" w:themeTint="A6"/>
        </w:rPr>
        <w:t xml:space="preserve"> ou encore du rapport à </w:t>
      </w:r>
      <w:r w:rsidRPr="005F6DA6">
        <w:rPr>
          <w:rFonts w:ascii="Arial" w:hAnsi="Arial" w:cs="Arial"/>
          <w:i/>
          <w:color w:val="595959" w:themeColor="text1" w:themeTint="A6"/>
        </w:rPr>
        <w:t>la temporalité</w:t>
      </w:r>
      <w:r w:rsidRPr="005F6DA6">
        <w:rPr>
          <w:rFonts w:ascii="Arial" w:hAnsi="Arial" w:cs="Arial"/>
          <w:color w:val="595959" w:themeColor="text1" w:themeTint="A6"/>
        </w:rPr>
        <w:t>. Ainsi l’Arbre de Confiance de Pierre Winicki est-il assez proche des dimensions intrinsèques d’un processus médica</w:t>
      </w:r>
      <w:r w:rsidR="00C10B59" w:rsidRPr="005F6DA6">
        <w:rPr>
          <w:rFonts w:ascii="Arial" w:hAnsi="Arial" w:cs="Arial"/>
          <w:color w:val="595959" w:themeColor="text1" w:themeTint="A6"/>
        </w:rPr>
        <w:t>l hautement pertinent comme la p</w:t>
      </w:r>
      <w:r w:rsidRPr="005F6DA6">
        <w:rPr>
          <w:rFonts w:ascii="Arial" w:hAnsi="Arial" w:cs="Arial"/>
          <w:color w:val="595959" w:themeColor="text1" w:themeTint="A6"/>
        </w:rPr>
        <w:t xml:space="preserve">rise de </w:t>
      </w:r>
      <w:r w:rsidR="00C10B59" w:rsidRPr="005F6DA6">
        <w:rPr>
          <w:rFonts w:ascii="Arial" w:hAnsi="Arial" w:cs="Arial"/>
          <w:color w:val="595959" w:themeColor="text1" w:themeTint="A6"/>
        </w:rPr>
        <w:t>d</w:t>
      </w:r>
      <w:r w:rsidRPr="005F6DA6">
        <w:rPr>
          <w:rFonts w:ascii="Arial" w:hAnsi="Arial" w:cs="Arial"/>
          <w:color w:val="595959" w:themeColor="text1" w:themeTint="A6"/>
        </w:rPr>
        <w:t xml:space="preserve">écision </w:t>
      </w:r>
      <w:r w:rsidR="00C10B59" w:rsidRPr="005F6DA6">
        <w:rPr>
          <w:rFonts w:ascii="Arial" w:hAnsi="Arial" w:cs="Arial"/>
          <w:color w:val="595959" w:themeColor="text1" w:themeTint="A6"/>
        </w:rPr>
        <w:t>p</w:t>
      </w:r>
      <w:r w:rsidRPr="005F6DA6">
        <w:rPr>
          <w:rFonts w:ascii="Arial" w:hAnsi="Arial" w:cs="Arial"/>
          <w:color w:val="595959" w:themeColor="text1" w:themeTint="A6"/>
        </w:rPr>
        <w:t>artagée.</w:t>
      </w:r>
    </w:p>
    <w:p w14:paraId="79B2B952" w14:textId="0FD65B5A" w:rsidR="000A574B" w:rsidRPr="005F6DA6" w:rsidRDefault="000A574B" w:rsidP="002F45DA">
      <w:pPr>
        <w:spacing w:after="60"/>
        <w:jc w:val="both"/>
        <w:rPr>
          <w:rFonts w:ascii="Arial" w:eastAsia="Times New Roman" w:hAnsi="Arial" w:cs="Arial"/>
          <w:b/>
          <w:color w:val="595959" w:themeColor="text1" w:themeTint="A6"/>
        </w:rPr>
      </w:pPr>
    </w:p>
    <w:p w14:paraId="587C6A63" w14:textId="77777777" w:rsidR="000A574B" w:rsidRPr="005F6DA6" w:rsidRDefault="000A574B" w:rsidP="002F45DA">
      <w:pPr>
        <w:spacing w:after="60"/>
        <w:ind w:left="720"/>
        <w:jc w:val="both"/>
        <w:rPr>
          <w:rFonts w:ascii="Arial" w:eastAsia="Times New Roman" w:hAnsi="Arial" w:cs="Arial"/>
          <w:b/>
          <w:color w:val="595959" w:themeColor="text1" w:themeTint="A6"/>
          <w:shd w:val="clear" w:color="auto" w:fill="FDFDFD"/>
        </w:rPr>
      </w:pPr>
    </w:p>
    <w:p w14:paraId="3BE5049E" w14:textId="7E3DA600" w:rsidR="000A574B" w:rsidRPr="005F6DA6" w:rsidRDefault="00C34743" w:rsidP="002F45DA">
      <w:pPr>
        <w:spacing w:after="60"/>
        <w:jc w:val="center"/>
        <w:rPr>
          <w:rFonts w:ascii="Arial" w:eastAsia="Times New Roman" w:hAnsi="Arial" w:cs="Arial"/>
          <w:b/>
          <w:color w:val="595959" w:themeColor="text1" w:themeTint="A6"/>
        </w:rPr>
      </w:pPr>
      <w:r w:rsidRPr="005F6DA6">
        <w:rPr>
          <w:rFonts w:ascii="Arial" w:hAnsi="Arial" w:cs="Arial"/>
          <w:noProof/>
          <w:color w:val="595959" w:themeColor="text1" w:themeTint="A6"/>
        </w:rPr>
        <w:drawing>
          <wp:inline distT="0" distB="0" distL="0" distR="0" wp14:anchorId="1E164537" wp14:editId="576A0228">
            <wp:extent cx="489203" cy="365764"/>
            <wp:effectExtent l="0" t="0" r="0" b="0"/>
            <wp:docPr id="2" name="Image 2"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p>
    <w:p w14:paraId="18E194B2" w14:textId="77777777" w:rsidR="00C34743" w:rsidRPr="005F6DA6" w:rsidRDefault="00C34743" w:rsidP="002F45DA">
      <w:pPr>
        <w:spacing w:after="60"/>
        <w:jc w:val="center"/>
        <w:rPr>
          <w:rFonts w:ascii="Arial" w:eastAsia="Times New Roman" w:hAnsi="Arial" w:cs="Arial"/>
          <w:b/>
          <w:color w:val="595959" w:themeColor="text1" w:themeTint="A6"/>
        </w:rPr>
      </w:pPr>
    </w:p>
    <w:p w14:paraId="2112342D" w14:textId="77777777" w:rsidR="00C34743" w:rsidRPr="005F6DA6" w:rsidRDefault="00C34743" w:rsidP="002F45DA">
      <w:pPr>
        <w:spacing w:after="60"/>
        <w:jc w:val="center"/>
        <w:rPr>
          <w:rFonts w:ascii="Arial" w:eastAsia="Times New Roman" w:hAnsi="Arial" w:cs="Arial"/>
          <w:b/>
          <w:color w:val="595959" w:themeColor="text1" w:themeTint="A6"/>
        </w:rPr>
      </w:pPr>
    </w:p>
    <w:p w14:paraId="5BEEF70A" w14:textId="32F187BD" w:rsidR="000A574B" w:rsidRPr="005F6DA6" w:rsidRDefault="000A574B" w:rsidP="002F45DA">
      <w:pPr>
        <w:spacing w:after="60"/>
        <w:rPr>
          <w:rFonts w:ascii="Arial" w:eastAsia="Times New Roman" w:hAnsi="Arial" w:cs="Arial"/>
          <w:b/>
          <w:color w:val="595959" w:themeColor="text1" w:themeTint="A6"/>
        </w:rPr>
      </w:pPr>
      <w:r w:rsidRPr="005F6DA6">
        <w:rPr>
          <w:rFonts w:ascii="Arial" w:eastAsia="Times New Roman" w:hAnsi="Arial" w:cs="Arial"/>
          <w:b/>
          <w:color w:val="595959" w:themeColor="text1" w:themeTint="A6"/>
        </w:rPr>
        <w:t xml:space="preserve">3. </w:t>
      </w:r>
      <w:r w:rsidR="00C10B59" w:rsidRPr="005F6DA6">
        <w:rPr>
          <w:rFonts w:ascii="Arial" w:eastAsia="Times New Roman" w:hAnsi="Arial" w:cs="Arial"/>
          <w:b/>
          <w:color w:val="595959" w:themeColor="text1" w:themeTint="A6"/>
        </w:rPr>
        <w:t>Daniel OPPENHEIM</w:t>
      </w:r>
    </w:p>
    <w:p w14:paraId="79882C12" w14:textId="77777777" w:rsidR="000A574B" w:rsidRPr="005F6DA6" w:rsidRDefault="000A574B" w:rsidP="002F45DA">
      <w:pPr>
        <w:spacing w:after="60"/>
        <w:rPr>
          <w:rFonts w:ascii="Arial" w:eastAsia="Times New Roman" w:hAnsi="Arial" w:cs="Arial"/>
          <w:b/>
          <w:color w:val="595959" w:themeColor="text1" w:themeTint="A6"/>
        </w:rPr>
      </w:pPr>
    </w:p>
    <w:p w14:paraId="2D99F7F5" w14:textId="06CA4C99" w:rsidR="00F01C61" w:rsidRPr="005F6DA6" w:rsidRDefault="00F01C61" w:rsidP="002F45DA">
      <w:pPr>
        <w:spacing w:after="60"/>
        <w:rPr>
          <w:rFonts w:ascii="Arial" w:eastAsia="Times New Roman" w:hAnsi="Arial" w:cs="Arial"/>
          <w:b/>
          <w:color w:val="595959" w:themeColor="text1" w:themeTint="A6"/>
        </w:rPr>
      </w:pPr>
      <w:r w:rsidRPr="005F6DA6">
        <w:rPr>
          <w:rFonts w:ascii="Arial" w:hAnsi="Arial" w:cs="Arial"/>
          <w:b/>
          <w:color w:val="595959" w:themeColor="text1" w:themeTint="A6"/>
        </w:rPr>
        <w:t>La confiance est rationnelle et irrationnelle</w:t>
      </w:r>
    </w:p>
    <w:p w14:paraId="7649FC2C" w14:textId="77777777" w:rsidR="00F01C61" w:rsidRPr="005F6DA6" w:rsidRDefault="00F01C61" w:rsidP="002F45DA">
      <w:pPr>
        <w:widowControl w:val="0"/>
        <w:autoSpaceDE w:val="0"/>
        <w:autoSpaceDN w:val="0"/>
        <w:adjustRightInd w:val="0"/>
        <w:spacing w:after="60"/>
        <w:jc w:val="both"/>
        <w:rPr>
          <w:rFonts w:ascii="Arial" w:hAnsi="Arial" w:cs="Arial"/>
          <w:color w:val="595959" w:themeColor="text1" w:themeTint="A6"/>
        </w:rPr>
      </w:pPr>
      <w:r w:rsidRPr="005F6DA6">
        <w:rPr>
          <w:rFonts w:ascii="Arial" w:hAnsi="Arial" w:cs="Arial"/>
          <w:color w:val="595959" w:themeColor="text1" w:themeTint="A6"/>
        </w:rPr>
        <w:t xml:space="preserve">La confiance se porte effectivement sur des éléments partiels, mais elle n'est possible que parce qu'il existe, depuis la naissance, une confiance globale, absolue (en raison de la dépendance totale du bébé à la protection de l'autre, quel qu'il soit) dans l'ordre du monde et la capacité de sa mère et de son père à en être les garants. Nous pouvons supporter la perte de confiance dans les éléments partiels mais pas la perte de cette confiance globale, car alors s’écroule tout ce sur quoi nous nous sommes construits, nous tombons dans le vide et les réactions peuvent être de détresse majeure ou de violence incontrôlable, de survie. </w:t>
      </w:r>
    </w:p>
    <w:p w14:paraId="0F5C1DE5" w14:textId="4DEF98AB" w:rsidR="00F01C61" w:rsidRPr="005F6DA6" w:rsidRDefault="00F01C61" w:rsidP="002F45DA">
      <w:pPr>
        <w:widowControl w:val="0"/>
        <w:autoSpaceDE w:val="0"/>
        <w:autoSpaceDN w:val="0"/>
        <w:adjustRightInd w:val="0"/>
        <w:spacing w:after="60"/>
        <w:jc w:val="both"/>
        <w:rPr>
          <w:rFonts w:ascii="Arial" w:hAnsi="Arial" w:cs="Arial"/>
          <w:color w:val="595959" w:themeColor="text1" w:themeTint="A6"/>
        </w:rPr>
      </w:pPr>
      <w:r w:rsidRPr="005F6DA6">
        <w:rPr>
          <w:rFonts w:ascii="Arial" w:hAnsi="Arial" w:cs="Arial"/>
          <w:color w:val="595959" w:themeColor="text1" w:themeTint="A6"/>
        </w:rPr>
        <w:t>La confiance est dirigée vers un (ou plusieurs) « chefs », fanatiquement ou sans trop d'illusion. Mais aussi vers (et à partir) d'un groupe auquel nous pensons appartenir, de façon physique ou imaginaire, réaliste ou fantasmatique. Pour la Covid, le groupe auquel nous devrions nous sentir appartenir devrait être le vaste groupe de tous ceux qui vivent en France. Or depuis plusieurs années ce groupe s'est morcelé en de multiples fragments -communautés diverses- le plus souvent opposés les uns aux autres. De plus le gouvernement a augmenté encore cette fragmentation : jeunes/vieux, Ephad/autres lieux, régions, départements, zones de diverses couleurs, commerces essentiels et non essentiels, etc. Quand un responsable politique s'adresse au vaste groupe et dit « vous », il se met à l'extérieur de celui-ci, comme le fait la communication pour StopCovid qui passe en boucles : « S'il vous plaît, aidez</w:t>
      </w:r>
      <w:r w:rsidRPr="005F6DA6">
        <w:rPr>
          <w:rFonts w:ascii="Arial" w:hAnsi="Arial" w:cs="Arial"/>
          <w:b/>
          <w:color w:val="595959" w:themeColor="text1" w:themeTint="A6"/>
        </w:rPr>
        <w:t>-</w:t>
      </w:r>
      <w:r w:rsidRPr="005F6DA6">
        <w:rPr>
          <w:rFonts w:ascii="Arial" w:hAnsi="Arial" w:cs="Arial"/>
          <w:b/>
          <w:bCs/>
          <w:color w:val="595959" w:themeColor="text1" w:themeTint="A6"/>
        </w:rPr>
        <w:t>nous</w:t>
      </w:r>
      <w:r w:rsidRPr="005F6DA6">
        <w:rPr>
          <w:rFonts w:ascii="Arial" w:hAnsi="Arial" w:cs="Arial"/>
          <w:color w:val="595959" w:themeColor="text1" w:themeTint="A6"/>
        </w:rPr>
        <w:t xml:space="preserve"> à nous en débarrasser. » (qui est ce « nous »?)</w:t>
      </w:r>
    </w:p>
    <w:p w14:paraId="5BF3A20C" w14:textId="77777777" w:rsidR="00F01C61" w:rsidRPr="005F6DA6" w:rsidRDefault="00F01C61" w:rsidP="002F45DA">
      <w:pPr>
        <w:widowControl w:val="0"/>
        <w:autoSpaceDE w:val="0"/>
        <w:autoSpaceDN w:val="0"/>
        <w:adjustRightInd w:val="0"/>
        <w:spacing w:after="60"/>
        <w:jc w:val="both"/>
        <w:rPr>
          <w:rFonts w:ascii="Arial" w:hAnsi="Arial" w:cs="Arial"/>
          <w:color w:val="595959" w:themeColor="text1" w:themeTint="A6"/>
        </w:rPr>
      </w:pPr>
      <w:r w:rsidRPr="005F6DA6">
        <w:rPr>
          <w:rFonts w:ascii="Arial" w:hAnsi="Arial" w:cs="Arial"/>
          <w:color w:val="595959" w:themeColor="text1" w:themeTint="A6"/>
        </w:rPr>
        <w:t xml:space="preserve">Concernant la Covid et les vaccins, outre les questions de communication, de logistique, etc., la méfiance vient du souvenir d'expériences malheureuses (le Médiator, le sang contaminé, l'amiante, les conflits d'intérêt -Michel Aubier/Total-, etc). </w:t>
      </w:r>
    </w:p>
    <w:p w14:paraId="2C9C879E" w14:textId="77777777" w:rsidR="00F01C61" w:rsidRPr="005F6DA6" w:rsidRDefault="00F01C61" w:rsidP="002F45DA">
      <w:pPr>
        <w:widowControl w:val="0"/>
        <w:autoSpaceDE w:val="0"/>
        <w:autoSpaceDN w:val="0"/>
        <w:adjustRightInd w:val="0"/>
        <w:spacing w:after="60"/>
        <w:jc w:val="both"/>
        <w:rPr>
          <w:rFonts w:ascii="Arial" w:hAnsi="Arial" w:cs="Arial"/>
          <w:color w:val="595959" w:themeColor="text1" w:themeTint="A6"/>
        </w:rPr>
      </w:pPr>
      <w:r w:rsidRPr="005F6DA6">
        <w:rPr>
          <w:rFonts w:ascii="Arial" w:hAnsi="Arial" w:cs="Arial"/>
          <w:color w:val="595959" w:themeColor="text1" w:themeTint="A6"/>
        </w:rPr>
        <w:t>Il est utile d'entrer dans les détails : la confiance dans la médecine et les médecins n'est pas la même quand il s'agit de guérir un mal déjà là où un mal qui pourrait venir.</w:t>
      </w:r>
    </w:p>
    <w:p w14:paraId="0C0B8966" w14:textId="77777777" w:rsidR="00F01C61" w:rsidRPr="005F6DA6" w:rsidRDefault="00F01C61" w:rsidP="002F45DA">
      <w:pPr>
        <w:widowControl w:val="0"/>
        <w:autoSpaceDE w:val="0"/>
        <w:autoSpaceDN w:val="0"/>
        <w:adjustRightInd w:val="0"/>
        <w:spacing w:after="60"/>
        <w:jc w:val="both"/>
        <w:rPr>
          <w:rFonts w:ascii="Arial" w:hAnsi="Arial" w:cs="Arial"/>
          <w:color w:val="595959" w:themeColor="text1" w:themeTint="A6"/>
        </w:rPr>
      </w:pPr>
      <w:r w:rsidRPr="005F6DA6">
        <w:rPr>
          <w:rFonts w:ascii="Arial" w:hAnsi="Arial" w:cs="Arial"/>
          <w:color w:val="595959" w:themeColor="text1" w:themeTint="A6"/>
        </w:rPr>
        <w:t>La confiance est rationnelle et irrationnelle (l’inconscient existe, irréductible), les exemples individuels, collectifs, de masse, ne manquent pas qui montrent qu'elle fait prendre des décisions souvent contraires à l'intérêt de ceux qu'elle guide, parfois vers la catastrophe, en aveugles ou malgré une intuition, voire une lucidité, qu'ils ne veulent ou ne peuvent écouter.</w:t>
      </w:r>
    </w:p>
    <w:p w14:paraId="7563F125" w14:textId="19E92DDA" w:rsidR="00443217" w:rsidRPr="005F6DA6" w:rsidRDefault="00443217" w:rsidP="002F45DA">
      <w:pPr>
        <w:pStyle w:val="Titre2"/>
        <w:spacing w:before="0" w:after="60" w:line="240" w:lineRule="auto"/>
        <w:rPr>
          <w:rFonts w:ascii="Arial" w:hAnsi="Arial" w:cs="Arial"/>
          <w:color w:val="595959" w:themeColor="text1" w:themeTint="A6"/>
          <w:sz w:val="24"/>
          <w:szCs w:val="24"/>
        </w:rPr>
      </w:pPr>
    </w:p>
    <w:p w14:paraId="07A5C851" w14:textId="77777777" w:rsidR="00C34743" w:rsidRPr="005F6DA6" w:rsidRDefault="00C34743" w:rsidP="002F45DA">
      <w:pPr>
        <w:spacing w:after="60"/>
        <w:rPr>
          <w:rFonts w:ascii="Arial" w:hAnsi="Arial" w:cs="Arial"/>
          <w:color w:val="595959" w:themeColor="text1" w:themeTint="A6"/>
        </w:rPr>
      </w:pPr>
    </w:p>
    <w:p w14:paraId="69932E25" w14:textId="77777777" w:rsidR="009F637B" w:rsidRPr="005F6DA6" w:rsidRDefault="009F637B" w:rsidP="002F45DA">
      <w:pPr>
        <w:tabs>
          <w:tab w:val="left" w:pos="4111"/>
        </w:tabs>
        <w:spacing w:after="60"/>
        <w:rPr>
          <w:rFonts w:ascii="Arial" w:hAnsi="Arial" w:cs="Arial"/>
          <w:color w:val="595959" w:themeColor="text1" w:themeTint="A6"/>
        </w:rPr>
      </w:pPr>
    </w:p>
    <w:p w14:paraId="39A79BBC" w14:textId="77777777" w:rsidR="009F637B" w:rsidRPr="005F6DA6" w:rsidRDefault="009F637B" w:rsidP="002F45DA">
      <w:pPr>
        <w:spacing w:after="60"/>
        <w:rPr>
          <w:rFonts w:ascii="Arial" w:eastAsia="Times New Roman" w:hAnsi="Arial" w:cs="Arial"/>
          <w:b/>
          <w:color w:val="595959" w:themeColor="text1" w:themeTint="A6"/>
        </w:rPr>
      </w:pPr>
    </w:p>
    <w:p w14:paraId="5EEEAC21" w14:textId="01F6DAF4" w:rsidR="005D6B69" w:rsidRPr="005F6DA6" w:rsidRDefault="00C34743" w:rsidP="002F45DA">
      <w:pPr>
        <w:tabs>
          <w:tab w:val="left" w:pos="4111"/>
        </w:tabs>
        <w:spacing w:after="60"/>
        <w:jc w:val="center"/>
        <w:rPr>
          <w:rFonts w:ascii="Arial" w:hAnsi="Arial" w:cs="Arial"/>
          <w:color w:val="595959" w:themeColor="text1" w:themeTint="A6"/>
        </w:rPr>
      </w:pPr>
      <w:r w:rsidRPr="005F6DA6">
        <w:rPr>
          <w:rFonts w:ascii="Arial" w:hAnsi="Arial" w:cs="Arial"/>
          <w:noProof/>
          <w:color w:val="595959" w:themeColor="text1" w:themeTint="A6"/>
        </w:rPr>
        <w:drawing>
          <wp:inline distT="0" distB="0" distL="0" distR="0" wp14:anchorId="50A30097" wp14:editId="185A7873">
            <wp:extent cx="489203" cy="365764"/>
            <wp:effectExtent l="0" t="0" r="0" b="0"/>
            <wp:docPr id="8" name="Image 8"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5A01E3E9" wp14:editId="15914AFF">
            <wp:extent cx="489203" cy="365764"/>
            <wp:effectExtent l="0" t="0" r="0" b="0"/>
            <wp:docPr id="9" name="Image 9"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763A6C99" wp14:editId="3A651EFF">
            <wp:extent cx="489203" cy="365764"/>
            <wp:effectExtent l="0" t="0" r="0" b="0"/>
            <wp:docPr id="10" name="Image 10"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p>
    <w:p w14:paraId="0EC685B7" w14:textId="3D69DF23" w:rsidR="00C34743" w:rsidRPr="005F6DA6" w:rsidRDefault="00C34743" w:rsidP="002F45DA">
      <w:pPr>
        <w:tabs>
          <w:tab w:val="left" w:pos="4111"/>
        </w:tabs>
        <w:spacing w:after="60"/>
        <w:jc w:val="center"/>
        <w:rPr>
          <w:rFonts w:ascii="Arial" w:hAnsi="Arial" w:cs="Arial"/>
          <w:color w:val="595959" w:themeColor="text1" w:themeTint="A6"/>
        </w:rPr>
      </w:pPr>
      <w:r w:rsidRPr="005F6DA6">
        <w:rPr>
          <w:rFonts w:ascii="Arial" w:hAnsi="Arial" w:cs="Arial"/>
          <w:noProof/>
          <w:color w:val="595959" w:themeColor="text1" w:themeTint="A6"/>
        </w:rPr>
        <w:drawing>
          <wp:inline distT="0" distB="0" distL="0" distR="0" wp14:anchorId="517CC38A" wp14:editId="3A665F92">
            <wp:extent cx="489203" cy="365764"/>
            <wp:effectExtent l="0" t="0" r="0" b="0"/>
            <wp:docPr id="12" name="Image 12"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046D4719" wp14:editId="6F4D4280">
            <wp:extent cx="489203" cy="365764"/>
            <wp:effectExtent l="0" t="0" r="0" b="0"/>
            <wp:docPr id="13" name="Image 13"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r w:rsidRPr="005F6DA6">
        <w:rPr>
          <w:rFonts w:ascii="Arial" w:hAnsi="Arial" w:cs="Arial"/>
          <w:noProof/>
          <w:color w:val="595959" w:themeColor="text1" w:themeTint="A6"/>
        </w:rPr>
        <w:drawing>
          <wp:inline distT="0" distB="0" distL="0" distR="0" wp14:anchorId="01FD2017" wp14:editId="66C4C1EF">
            <wp:extent cx="489203" cy="365764"/>
            <wp:effectExtent l="0" t="0" r="0" b="0"/>
            <wp:docPr id="14" name="Image 14" descr="Macintosh HD:Users:hirschhirsch:Desktop:Capture d’écran 2021-01-06 à 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rschhirsch:Desktop:Capture d’écran 2021-01-06 à 17.18.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04" cy="366288"/>
                    </a:xfrm>
                    <a:prstGeom prst="rect">
                      <a:avLst/>
                    </a:prstGeom>
                    <a:noFill/>
                    <a:ln>
                      <a:noFill/>
                    </a:ln>
                  </pic:spPr>
                </pic:pic>
              </a:graphicData>
            </a:graphic>
          </wp:inline>
        </w:drawing>
      </w:r>
    </w:p>
    <w:sectPr w:rsidR="00C34743" w:rsidRPr="005F6DA6" w:rsidSect="00133577">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A6D7E" w14:textId="77777777" w:rsidR="005F6DA6" w:rsidRDefault="005F6DA6" w:rsidP="005D6B69">
      <w:r>
        <w:separator/>
      </w:r>
    </w:p>
  </w:endnote>
  <w:endnote w:type="continuationSeparator" w:id="0">
    <w:p w14:paraId="75B06FF4" w14:textId="77777777" w:rsidR="005F6DA6" w:rsidRDefault="005F6DA6" w:rsidP="005D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47E37" w14:textId="77777777" w:rsidR="005F6DA6" w:rsidRDefault="005F6DA6" w:rsidP="005D6B6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62DABCB" w14:textId="77777777" w:rsidR="005F6DA6" w:rsidRDefault="005F6DA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D937E" w14:textId="77777777" w:rsidR="005F6DA6" w:rsidRPr="005D6B69" w:rsidRDefault="005F6DA6" w:rsidP="005D6B69">
    <w:pPr>
      <w:pStyle w:val="Pieddepage"/>
      <w:framePr w:wrap="around" w:vAnchor="text" w:hAnchor="margin" w:xAlign="center" w:y="1"/>
      <w:rPr>
        <w:rStyle w:val="Numrodepage"/>
        <w:rFonts w:ascii="Arial" w:hAnsi="Arial" w:cs="Arial"/>
      </w:rPr>
    </w:pPr>
    <w:r w:rsidRPr="005D6B69">
      <w:rPr>
        <w:rStyle w:val="Numrodepage"/>
        <w:rFonts w:ascii="Arial" w:hAnsi="Arial" w:cs="Arial"/>
      </w:rPr>
      <w:fldChar w:fldCharType="begin"/>
    </w:r>
    <w:r w:rsidRPr="005D6B69">
      <w:rPr>
        <w:rStyle w:val="Numrodepage"/>
        <w:rFonts w:ascii="Arial" w:hAnsi="Arial" w:cs="Arial"/>
      </w:rPr>
      <w:instrText xml:space="preserve">PAGE  </w:instrText>
    </w:r>
    <w:r w:rsidRPr="005D6B69">
      <w:rPr>
        <w:rStyle w:val="Numrodepage"/>
        <w:rFonts w:ascii="Arial" w:hAnsi="Arial" w:cs="Arial"/>
      </w:rPr>
      <w:fldChar w:fldCharType="separate"/>
    </w:r>
    <w:r w:rsidR="00F14FBC">
      <w:rPr>
        <w:rStyle w:val="Numrodepage"/>
        <w:rFonts w:ascii="Arial" w:hAnsi="Arial" w:cs="Arial"/>
        <w:noProof/>
      </w:rPr>
      <w:t>1</w:t>
    </w:r>
    <w:r w:rsidRPr="005D6B69">
      <w:rPr>
        <w:rStyle w:val="Numrodepage"/>
        <w:rFonts w:ascii="Arial" w:hAnsi="Arial" w:cs="Arial"/>
      </w:rPr>
      <w:fldChar w:fldCharType="end"/>
    </w:r>
  </w:p>
  <w:p w14:paraId="65A5BB41" w14:textId="77777777" w:rsidR="005F6DA6" w:rsidRDefault="005F6DA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E7B26" w14:textId="77777777" w:rsidR="005F6DA6" w:rsidRDefault="005F6DA6" w:rsidP="005D6B69">
      <w:r>
        <w:separator/>
      </w:r>
    </w:p>
  </w:footnote>
  <w:footnote w:type="continuationSeparator" w:id="0">
    <w:p w14:paraId="34CE00D8" w14:textId="77777777" w:rsidR="005F6DA6" w:rsidRDefault="005F6DA6" w:rsidP="005D6B69">
      <w:r>
        <w:continuationSeparator/>
      </w:r>
    </w:p>
  </w:footnote>
  <w:footnote w:id="1">
    <w:p w14:paraId="4945D744" w14:textId="61617693" w:rsidR="005F6DA6" w:rsidRPr="00C10B59" w:rsidRDefault="005F6DA6" w:rsidP="00C10B59">
      <w:pPr>
        <w:spacing w:after="60"/>
        <w:jc w:val="both"/>
        <w:rPr>
          <w:rFonts w:ascii="Arial" w:hAnsi="Arial" w:cs="Arial"/>
          <w:bCs/>
          <w:color w:val="404040" w:themeColor="text1" w:themeTint="BF"/>
          <w:sz w:val="20"/>
          <w:szCs w:val="20"/>
        </w:rPr>
      </w:pPr>
      <w:r w:rsidRPr="00C10B59">
        <w:rPr>
          <w:rStyle w:val="Marquenotebasdepage"/>
          <w:rFonts w:ascii="Arial" w:hAnsi="Arial" w:cs="Arial"/>
          <w:sz w:val="20"/>
          <w:szCs w:val="20"/>
        </w:rPr>
        <w:footnoteRef/>
      </w:r>
      <w:r w:rsidRPr="00C10B59">
        <w:rPr>
          <w:rFonts w:ascii="Arial" w:hAnsi="Arial" w:cs="Arial"/>
          <w:sz w:val="20"/>
          <w:szCs w:val="20"/>
        </w:rPr>
        <w:t xml:space="preserve"> </w:t>
      </w:r>
      <w:hyperlink r:id="rId1" w:history="1">
        <w:r w:rsidRPr="00C10B59">
          <w:rPr>
            <w:rStyle w:val="Lienhypertexte"/>
            <w:rFonts w:ascii="Arial" w:hAnsi="Arial" w:cs="Arial"/>
            <w:bCs/>
            <w:color w:val="404040" w:themeColor="text1" w:themeTint="BF"/>
            <w:sz w:val="20"/>
            <w:szCs w:val="20"/>
            <w:u w:val="none"/>
          </w:rPr>
          <w:t>https://halshs.archives-ouvertes.fr/halshs-01247699/document</w:t>
        </w:r>
      </w:hyperlink>
    </w:p>
    <w:p w14:paraId="1760386D" w14:textId="77777777" w:rsidR="005F6DA6" w:rsidRPr="00C10B59" w:rsidRDefault="005F6DA6" w:rsidP="00C10B59">
      <w:pPr>
        <w:spacing w:after="60"/>
        <w:jc w:val="both"/>
        <w:rPr>
          <w:rFonts w:ascii="Arial" w:hAnsi="Arial" w:cs="Arial"/>
          <w:bCs/>
          <w:color w:val="404040" w:themeColor="text1" w:themeTint="BF"/>
          <w:sz w:val="20"/>
          <w:szCs w:val="20"/>
        </w:rPr>
      </w:pPr>
      <w:r w:rsidRPr="00C10B59">
        <w:rPr>
          <w:rFonts w:ascii="Arial" w:hAnsi="Arial" w:cs="Arial"/>
          <w:bCs/>
          <w:color w:val="404040" w:themeColor="text1" w:themeTint="BF"/>
          <w:sz w:val="20"/>
          <w:szCs w:val="20"/>
        </w:rPr>
        <w:t>https://www.sciencedirect.com/science/article/abs/pii/S0738399109005059</w:t>
      </w:r>
    </w:p>
    <w:p w14:paraId="2481598E" w14:textId="118E403F" w:rsidR="005F6DA6" w:rsidRPr="00C10B59" w:rsidRDefault="005F6DA6">
      <w:pPr>
        <w:pStyle w:val="Notedebasdepage"/>
        <w:rPr>
          <w:sz w:val="20"/>
          <w:szCs w:val="20"/>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6E55"/>
    <w:multiLevelType w:val="hybridMultilevel"/>
    <w:tmpl w:val="52A85092"/>
    <w:lvl w:ilvl="0" w:tplc="E95625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2C4F26"/>
    <w:multiLevelType w:val="hybridMultilevel"/>
    <w:tmpl w:val="CC1A94E4"/>
    <w:lvl w:ilvl="0" w:tplc="F2A65C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EC7D01"/>
    <w:multiLevelType w:val="multilevel"/>
    <w:tmpl w:val="D39C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187"/>
    <w:rsid w:val="00026404"/>
    <w:rsid w:val="000A574B"/>
    <w:rsid w:val="0010193A"/>
    <w:rsid w:val="00116187"/>
    <w:rsid w:val="00133577"/>
    <w:rsid w:val="00224334"/>
    <w:rsid w:val="0029709C"/>
    <w:rsid w:val="002F45DA"/>
    <w:rsid w:val="003613AD"/>
    <w:rsid w:val="00374E7B"/>
    <w:rsid w:val="00443217"/>
    <w:rsid w:val="004B38DB"/>
    <w:rsid w:val="004E5561"/>
    <w:rsid w:val="00500A7E"/>
    <w:rsid w:val="0052624E"/>
    <w:rsid w:val="005C7874"/>
    <w:rsid w:val="005D6B69"/>
    <w:rsid w:val="005F46F8"/>
    <w:rsid w:val="005F6DA6"/>
    <w:rsid w:val="006D5631"/>
    <w:rsid w:val="006F282D"/>
    <w:rsid w:val="00921540"/>
    <w:rsid w:val="0097354C"/>
    <w:rsid w:val="009F637B"/>
    <w:rsid w:val="00AA38FF"/>
    <w:rsid w:val="00B523FD"/>
    <w:rsid w:val="00B722C0"/>
    <w:rsid w:val="00BA06E7"/>
    <w:rsid w:val="00C10B59"/>
    <w:rsid w:val="00C34743"/>
    <w:rsid w:val="00C80B9E"/>
    <w:rsid w:val="00E14801"/>
    <w:rsid w:val="00F01C61"/>
    <w:rsid w:val="00F14F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7AA6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561"/>
  </w:style>
  <w:style w:type="paragraph" w:styleId="Titre2">
    <w:name w:val="heading 2"/>
    <w:basedOn w:val="Normal"/>
    <w:next w:val="Normal"/>
    <w:link w:val="Titre2Car"/>
    <w:uiPriority w:val="9"/>
    <w:unhideWhenUsed/>
    <w:qFormat/>
    <w:rsid w:val="0044321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D6B69"/>
  </w:style>
  <w:style w:type="paragraph" w:styleId="Pieddepage">
    <w:name w:val="footer"/>
    <w:basedOn w:val="Normal"/>
    <w:link w:val="PieddepageCar"/>
    <w:uiPriority w:val="99"/>
    <w:unhideWhenUsed/>
    <w:rsid w:val="005D6B69"/>
    <w:pPr>
      <w:tabs>
        <w:tab w:val="center" w:pos="4536"/>
        <w:tab w:val="right" w:pos="9072"/>
      </w:tabs>
    </w:pPr>
  </w:style>
  <w:style w:type="character" w:customStyle="1" w:styleId="PieddepageCar">
    <w:name w:val="Pied de page Car"/>
    <w:basedOn w:val="Policepardfaut"/>
    <w:link w:val="Pieddepage"/>
    <w:uiPriority w:val="99"/>
    <w:rsid w:val="005D6B69"/>
  </w:style>
  <w:style w:type="character" w:styleId="Numrodepage">
    <w:name w:val="page number"/>
    <w:basedOn w:val="Policepardfaut"/>
    <w:uiPriority w:val="99"/>
    <w:semiHidden/>
    <w:unhideWhenUsed/>
    <w:rsid w:val="005D6B69"/>
  </w:style>
  <w:style w:type="paragraph" w:styleId="En-tte">
    <w:name w:val="header"/>
    <w:basedOn w:val="Normal"/>
    <w:link w:val="En-tteCar"/>
    <w:uiPriority w:val="99"/>
    <w:unhideWhenUsed/>
    <w:rsid w:val="005D6B69"/>
    <w:pPr>
      <w:tabs>
        <w:tab w:val="center" w:pos="4536"/>
        <w:tab w:val="right" w:pos="9072"/>
      </w:tabs>
    </w:pPr>
  </w:style>
  <w:style w:type="character" w:customStyle="1" w:styleId="En-tteCar">
    <w:name w:val="En-tête Car"/>
    <w:basedOn w:val="Policepardfaut"/>
    <w:link w:val="En-tte"/>
    <w:uiPriority w:val="99"/>
    <w:rsid w:val="005D6B69"/>
  </w:style>
  <w:style w:type="paragraph" w:styleId="Paragraphedeliste">
    <w:name w:val="List Paragraph"/>
    <w:basedOn w:val="Normal"/>
    <w:uiPriority w:val="34"/>
    <w:qFormat/>
    <w:rsid w:val="00B523FD"/>
    <w:pPr>
      <w:ind w:left="720"/>
      <w:contextualSpacing/>
    </w:pPr>
  </w:style>
  <w:style w:type="character" w:customStyle="1" w:styleId="Titre2Car">
    <w:name w:val="Titre 2 Car"/>
    <w:basedOn w:val="Policepardfaut"/>
    <w:link w:val="Titre2"/>
    <w:uiPriority w:val="9"/>
    <w:rsid w:val="00443217"/>
    <w:rPr>
      <w:rFonts w:asciiTheme="majorHAnsi" w:eastAsiaTheme="majorEastAsia" w:hAnsiTheme="majorHAnsi" w:cstheme="majorBidi"/>
      <w:color w:val="365F91" w:themeColor="accent1" w:themeShade="BF"/>
      <w:sz w:val="26"/>
      <w:szCs w:val="26"/>
      <w:lang w:eastAsia="en-US"/>
    </w:rPr>
  </w:style>
  <w:style w:type="character" w:styleId="Accentuation">
    <w:name w:val="Emphasis"/>
    <w:basedOn w:val="Policepardfaut"/>
    <w:uiPriority w:val="20"/>
    <w:qFormat/>
    <w:rsid w:val="00443217"/>
    <w:rPr>
      <w:i/>
      <w:iCs/>
    </w:rPr>
  </w:style>
  <w:style w:type="character" w:customStyle="1" w:styleId="object">
    <w:name w:val="object"/>
    <w:basedOn w:val="Policepardfaut"/>
    <w:rsid w:val="000A574B"/>
  </w:style>
  <w:style w:type="paragraph" w:styleId="Textedebulles">
    <w:name w:val="Balloon Text"/>
    <w:basedOn w:val="Normal"/>
    <w:link w:val="TextedebullesCar"/>
    <w:uiPriority w:val="99"/>
    <w:semiHidden/>
    <w:unhideWhenUsed/>
    <w:rsid w:val="003613A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13AD"/>
    <w:rPr>
      <w:rFonts w:ascii="Lucida Grande" w:hAnsi="Lucida Grande" w:cs="Lucida Grande"/>
      <w:sz w:val="18"/>
      <w:szCs w:val="18"/>
    </w:rPr>
  </w:style>
  <w:style w:type="character" w:styleId="Lienhypertexte">
    <w:name w:val="Hyperlink"/>
    <w:basedOn w:val="Policepardfaut"/>
    <w:uiPriority w:val="99"/>
    <w:semiHidden/>
    <w:unhideWhenUsed/>
    <w:rsid w:val="0052624E"/>
    <w:rPr>
      <w:color w:val="0000FF"/>
      <w:u w:val="single"/>
    </w:rPr>
  </w:style>
  <w:style w:type="character" w:styleId="lev">
    <w:name w:val="Strong"/>
    <w:basedOn w:val="Policepardfaut"/>
    <w:uiPriority w:val="22"/>
    <w:qFormat/>
    <w:rsid w:val="0052624E"/>
    <w:rPr>
      <w:b/>
      <w:bCs/>
    </w:rPr>
  </w:style>
  <w:style w:type="paragraph" w:styleId="Notedebasdepage">
    <w:name w:val="footnote text"/>
    <w:basedOn w:val="Normal"/>
    <w:link w:val="NotedebasdepageCar"/>
    <w:uiPriority w:val="99"/>
    <w:unhideWhenUsed/>
    <w:rsid w:val="00C10B59"/>
  </w:style>
  <w:style w:type="character" w:customStyle="1" w:styleId="NotedebasdepageCar">
    <w:name w:val="Note de bas de page Car"/>
    <w:basedOn w:val="Policepardfaut"/>
    <w:link w:val="Notedebasdepage"/>
    <w:uiPriority w:val="99"/>
    <w:rsid w:val="00C10B59"/>
  </w:style>
  <w:style w:type="character" w:styleId="Marquenotebasdepage">
    <w:name w:val="footnote reference"/>
    <w:basedOn w:val="Policepardfaut"/>
    <w:uiPriority w:val="99"/>
    <w:unhideWhenUsed/>
    <w:rsid w:val="00C10B5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561"/>
  </w:style>
  <w:style w:type="paragraph" w:styleId="Titre2">
    <w:name w:val="heading 2"/>
    <w:basedOn w:val="Normal"/>
    <w:next w:val="Normal"/>
    <w:link w:val="Titre2Car"/>
    <w:uiPriority w:val="9"/>
    <w:unhideWhenUsed/>
    <w:qFormat/>
    <w:rsid w:val="0044321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D6B69"/>
  </w:style>
  <w:style w:type="paragraph" w:styleId="Pieddepage">
    <w:name w:val="footer"/>
    <w:basedOn w:val="Normal"/>
    <w:link w:val="PieddepageCar"/>
    <w:uiPriority w:val="99"/>
    <w:unhideWhenUsed/>
    <w:rsid w:val="005D6B69"/>
    <w:pPr>
      <w:tabs>
        <w:tab w:val="center" w:pos="4536"/>
        <w:tab w:val="right" w:pos="9072"/>
      </w:tabs>
    </w:pPr>
  </w:style>
  <w:style w:type="character" w:customStyle="1" w:styleId="PieddepageCar">
    <w:name w:val="Pied de page Car"/>
    <w:basedOn w:val="Policepardfaut"/>
    <w:link w:val="Pieddepage"/>
    <w:uiPriority w:val="99"/>
    <w:rsid w:val="005D6B69"/>
  </w:style>
  <w:style w:type="character" w:styleId="Numrodepage">
    <w:name w:val="page number"/>
    <w:basedOn w:val="Policepardfaut"/>
    <w:uiPriority w:val="99"/>
    <w:semiHidden/>
    <w:unhideWhenUsed/>
    <w:rsid w:val="005D6B69"/>
  </w:style>
  <w:style w:type="paragraph" w:styleId="En-tte">
    <w:name w:val="header"/>
    <w:basedOn w:val="Normal"/>
    <w:link w:val="En-tteCar"/>
    <w:uiPriority w:val="99"/>
    <w:unhideWhenUsed/>
    <w:rsid w:val="005D6B69"/>
    <w:pPr>
      <w:tabs>
        <w:tab w:val="center" w:pos="4536"/>
        <w:tab w:val="right" w:pos="9072"/>
      </w:tabs>
    </w:pPr>
  </w:style>
  <w:style w:type="character" w:customStyle="1" w:styleId="En-tteCar">
    <w:name w:val="En-tête Car"/>
    <w:basedOn w:val="Policepardfaut"/>
    <w:link w:val="En-tte"/>
    <w:uiPriority w:val="99"/>
    <w:rsid w:val="005D6B69"/>
  </w:style>
  <w:style w:type="paragraph" w:styleId="Paragraphedeliste">
    <w:name w:val="List Paragraph"/>
    <w:basedOn w:val="Normal"/>
    <w:uiPriority w:val="34"/>
    <w:qFormat/>
    <w:rsid w:val="00B523FD"/>
    <w:pPr>
      <w:ind w:left="720"/>
      <w:contextualSpacing/>
    </w:pPr>
  </w:style>
  <w:style w:type="character" w:customStyle="1" w:styleId="Titre2Car">
    <w:name w:val="Titre 2 Car"/>
    <w:basedOn w:val="Policepardfaut"/>
    <w:link w:val="Titre2"/>
    <w:uiPriority w:val="9"/>
    <w:rsid w:val="00443217"/>
    <w:rPr>
      <w:rFonts w:asciiTheme="majorHAnsi" w:eastAsiaTheme="majorEastAsia" w:hAnsiTheme="majorHAnsi" w:cstheme="majorBidi"/>
      <w:color w:val="365F91" w:themeColor="accent1" w:themeShade="BF"/>
      <w:sz w:val="26"/>
      <w:szCs w:val="26"/>
      <w:lang w:eastAsia="en-US"/>
    </w:rPr>
  </w:style>
  <w:style w:type="character" w:styleId="Accentuation">
    <w:name w:val="Emphasis"/>
    <w:basedOn w:val="Policepardfaut"/>
    <w:uiPriority w:val="20"/>
    <w:qFormat/>
    <w:rsid w:val="00443217"/>
    <w:rPr>
      <w:i/>
      <w:iCs/>
    </w:rPr>
  </w:style>
  <w:style w:type="character" w:customStyle="1" w:styleId="object">
    <w:name w:val="object"/>
    <w:basedOn w:val="Policepardfaut"/>
    <w:rsid w:val="000A574B"/>
  </w:style>
  <w:style w:type="paragraph" w:styleId="Textedebulles">
    <w:name w:val="Balloon Text"/>
    <w:basedOn w:val="Normal"/>
    <w:link w:val="TextedebullesCar"/>
    <w:uiPriority w:val="99"/>
    <w:semiHidden/>
    <w:unhideWhenUsed/>
    <w:rsid w:val="003613A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13AD"/>
    <w:rPr>
      <w:rFonts w:ascii="Lucida Grande" w:hAnsi="Lucida Grande" w:cs="Lucida Grande"/>
      <w:sz w:val="18"/>
      <w:szCs w:val="18"/>
    </w:rPr>
  </w:style>
  <w:style w:type="character" w:styleId="Lienhypertexte">
    <w:name w:val="Hyperlink"/>
    <w:basedOn w:val="Policepardfaut"/>
    <w:uiPriority w:val="99"/>
    <w:semiHidden/>
    <w:unhideWhenUsed/>
    <w:rsid w:val="0052624E"/>
    <w:rPr>
      <w:color w:val="0000FF"/>
      <w:u w:val="single"/>
    </w:rPr>
  </w:style>
  <w:style w:type="character" w:styleId="lev">
    <w:name w:val="Strong"/>
    <w:basedOn w:val="Policepardfaut"/>
    <w:uiPriority w:val="22"/>
    <w:qFormat/>
    <w:rsid w:val="0052624E"/>
    <w:rPr>
      <w:b/>
      <w:bCs/>
    </w:rPr>
  </w:style>
  <w:style w:type="paragraph" w:styleId="Notedebasdepage">
    <w:name w:val="footnote text"/>
    <w:basedOn w:val="Normal"/>
    <w:link w:val="NotedebasdepageCar"/>
    <w:uiPriority w:val="99"/>
    <w:unhideWhenUsed/>
    <w:rsid w:val="00C10B59"/>
  </w:style>
  <w:style w:type="character" w:customStyle="1" w:styleId="NotedebasdepageCar">
    <w:name w:val="Note de bas de page Car"/>
    <w:basedOn w:val="Policepardfaut"/>
    <w:link w:val="Notedebasdepage"/>
    <w:uiPriority w:val="99"/>
    <w:rsid w:val="00C10B59"/>
  </w:style>
  <w:style w:type="character" w:styleId="Marquenotebasdepage">
    <w:name w:val="footnote reference"/>
    <w:basedOn w:val="Policepardfaut"/>
    <w:uiPriority w:val="99"/>
    <w:unhideWhenUsed/>
    <w:rsid w:val="00C10B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90376">
      <w:bodyDiv w:val="1"/>
      <w:marLeft w:val="0"/>
      <w:marRight w:val="0"/>
      <w:marTop w:val="0"/>
      <w:marBottom w:val="0"/>
      <w:divBdr>
        <w:top w:val="none" w:sz="0" w:space="0" w:color="auto"/>
        <w:left w:val="none" w:sz="0" w:space="0" w:color="auto"/>
        <w:bottom w:val="none" w:sz="0" w:space="0" w:color="auto"/>
        <w:right w:val="none" w:sz="0" w:space="0" w:color="auto"/>
      </w:divBdr>
      <w:divsChild>
        <w:div w:id="252205336">
          <w:marLeft w:val="0"/>
          <w:marRight w:val="0"/>
          <w:marTop w:val="0"/>
          <w:marBottom w:val="0"/>
          <w:divBdr>
            <w:top w:val="none" w:sz="0" w:space="0" w:color="auto"/>
            <w:left w:val="none" w:sz="0" w:space="0" w:color="auto"/>
            <w:bottom w:val="none" w:sz="0" w:space="0" w:color="auto"/>
            <w:right w:val="none" w:sz="0" w:space="0" w:color="auto"/>
          </w:divBdr>
        </w:div>
        <w:div w:id="375593908">
          <w:marLeft w:val="0"/>
          <w:marRight w:val="0"/>
          <w:marTop w:val="0"/>
          <w:marBottom w:val="0"/>
          <w:divBdr>
            <w:top w:val="none" w:sz="0" w:space="0" w:color="auto"/>
            <w:left w:val="none" w:sz="0" w:space="0" w:color="auto"/>
            <w:bottom w:val="none" w:sz="0" w:space="0" w:color="auto"/>
            <w:right w:val="none" w:sz="0" w:space="0" w:color="auto"/>
          </w:divBdr>
        </w:div>
        <w:div w:id="1689329010">
          <w:marLeft w:val="0"/>
          <w:marRight w:val="0"/>
          <w:marTop w:val="0"/>
          <w:marBottom w:val="0"/>
          <w:divBdr>
            <w:top w:val="none" w:sz="0" w:space="0" w:color="auto"/>
            <w:left w:val="none" w:sz="0" w:space="0" w:color="auto"/>
            <w:bottom w:val="none" w:sz="0" w:space="0" w:color="auto"/>
            <w:right w:val="none" w:sz="0" w:space="0" w:color="auto"/>
          </w:divBdr>
        </w:div>
        <w:div w:id="451291669">
          <w:marLeft w:val="0"/>
          <w:marRight w:val="0"/>
          <w:marTop w:val="0"/>
          <w:marBottom w:val="0"/>
          <w:divBdr>
            <w:top w:val="none" w:sz="0" w:space="0" w:color="auto"/>
            <w:left w:val="none" w:sz="0" w:space="0" w:color="auto"/>
            <w:bottom w:val="none" w:sz="0" w:space="0" w:color="auto"/>
            <w:right w:val="none" w:sz="0" w:space="0" w:color="auto"/>
          </w:divBdr>
        </w:div>
      </w:divsChild>
    </w:div>
    <w:div w:id="237129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halshs.archives-ouvertes.fr/halshs-01247699/documen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1970</Words>
  <Characters>10403</Characters>
  <Application>Microsoft Macintosh Word</Application>
  <DocSecurity>0</DocSecurity>
  <Lines>189</Lines>
  <Paragraphs>13</Paragraphs>
  <ScaleCrop>false</ScaleCrop>
  <Company>AP-HP</Company>
  <LinksUpToDate>false</LinksUpToDate>
  <CharactersWithSpaces>12360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Hirsch</dc:creator>
  <cp:keywords/>
  <dc:description/>
  <cp:lastModifiedBy>Emmanuel Hirsch</cp:lastModifiedBy>
  <cp:revision>25</cp:revision>
  <cp:lastPrinted>2021-02-02T14:43:00Z</cp:lastPrinted>
  <dcterms:created xsi:type="dcterms:W3CDTF">2021-01-06T14:23:00Z</dcterms:created>
  <dcterms:modified xsi:type="dcterms:W3CDTF">2021-03-28T09:48:00Z</dcterms:modified>
</cp:coreProperties>
</file>